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19F0B9">
      <w:pPr>
        <w:kinsoku/>
        <w:autoSpaceDE/>
        <w:autoSpaceDN/>
        <w:adjustRightInd/>
        <w:snapToGrid/>
        <w:spacing w:line="560" w:lineRule="exact"/>
        <w:jc w:val="center"/>
        <w:textAlignment w:val="auto"/>
        <w:rPr>
          <w:rFonts w:ascii="方正小标宋简体" w:hAnsi="方正小标宋简体" w:eastAsia="方正小标宋简体" w:cs="方正小标宋简体"/>
          <w:snapToGrid/>
          <w:color w:val="auto"/>
          <w:w w:val="88"/>
          <w:sz w:val="44"/>
          <w:szCs w:val="44"/>
          <w:lang w:eastAsia="zh-CN" w:bidi="ar"/>
        </w:rPr>
      </w:pPr>
    </w:p>
    <w:p w14:paraId="764DF37A">
      <w:pPr>
        <w:kinsoku/>
        <w:autoSpaceDE/>
        <w:autoSpaceDN/>
        <w:adjustRightInd/>
        <w:snapToGrid/>
        <w:spacing w:line="560" w:lineRule="exact"/>
        <w:jc w:val="center"/>
        <w:textAlignment w:val="auto"/>
        <w:rPr>
          <w:rFonts w:ascii="方正小标宋简体" w:hAnsi="方正小标宋简体" w:eastAsia="方正小标宋简体" w:cs="方正小标宋简体"/>
          <w:snapToGrid/>
          <w:color w:val="auto"/>
          <w:w w:val="88"/>
          <w:sz w:val="44"/>
          <w:szCs w:val="44"/>
          <w:lang w:eastAsia="zh-CN" w:bidi="ar"/>
        </w:rPr>
      </w:pPr>
    </w:p>
    <w:p w14:paraId="550E2D57">
      <w:pPr>
        <w:kinsoku/>
        <w:autoSpaceDE/>
        <w:autoSpaceDN/>
        <w:adjustRightInd/>
        <w:snapToGrid/>
        <w:spacing w:line="560" w:lineRule="exact"/>
        <w:jc w:val="center"/>
        <w:textAlignment w:val="auto"/>
        <w:rPr>
          <w:rFonts w:ascii="方正小标宋简体" w:hAnsi="方正小标宋简体" w:eastAsia="方正小标宋简体" w:cs="方正小标宋简体"/>
          <w:snapToGrid/>
          <w:color w:val="auto"/>
          <w:w w:val="88"/>
          <w:sz w:val="44"/>
          <w:szCs w:val="44"/>
          <w:lang w:eastAsia="zh-CN" w:bidi="ar"/>
        </w:rPr>
      </w:pPr>
    </w:p>
    <w:p w14:paraId="21AAE3E2">
      <w:pPr>
        <w:kinsoku/>
        <w:autoSpaceDE/>
        <w:autoSpaceDN/>
        <w:adjustRightInd/>
        <w:snapToGrid/>
        <w:spacing w:line="560" w:lineRule="exact"/>
        <w:jc w:val="center"/>
        <w:textAlignment w:val="auto"/>
        <w:rPr>
          <w:rFonts w:ascii="方正小标宋简体" w:hAnsi="方正小标宋简体" w:eastAsia="方正小标宋简体" w:cs="方正小标宋简体"/>
          <w:snapToGrid/>
          <w:color w:val="auto"/>
          <w:w w:val="88"/>
          <w:sz w:val="44"/>
          <w:szCs w:val="44"/>
          <w:lang w:eastAsia="zh-CN" w:bidi="ar"/>
        </w:rPr>
      </w:pPr>
      <w:bookmarkStart w:id="1" w:name="_GoBack"/>
      <w:bookmarkEnd w:id="1"/>
    </w:p>
    <w:p w14:paraId="5ED1D3D6">
      <w:pPr>
        <w:kinsoku/>
        <w:autoSpaceDE/>
        <w:autoSpaceDN/>
        <w:adjustRightInd/>
        <w:snapToGrid/>
        <w:spacing w:line="560" w:lineRule="exact"/>
        <w:jc w:val="center"/>
        <w:textAlignment w:val="auto"/>
        <w:rPr>
          <w:rFonts w:ascii="方正小标宋简体" w:hAnsi="方正小标宋简体" w:eastAsia="方正小标宋简体" w:cs="方正小标宋简体"/>
          <w:snapToGrid/>
          <w:color w:val="auto"/>
          <w:w w:val="88"/>
          <w:sz w:val="44"/>
          <w:szCs w:val="44"/>
          <w:lang w:eastAsia="zh-CN" w:bidi="ar"/>
        </w:rPr>
      </w:pPr>
    </w:p>
    <w:p w14:paraId="6E970764">
      <w:pPr>
        <w:kinsoku/>
        <w:autoSpaceDE/>
        <w:autoSpaceDN/>
        <w:adjustRightInd/>
        <w:snapToGrid/>
        <w:spacing w:line="560" w:lineRule="exact"/>
        <w:jc w:val="center"/>
        <w:textAlignment w:val="auto"/>
        <w:rPr>
          <w:rFonts w:ascii="方正小标宋简体" w:hAnsi="方正小标宋简体" w:eastAsia="方正小标宋简体" w:cs="方正小标宋简体"/>
          <w:snapToGrid/>
          <w:color w:val="auto"/>
          <w:w w:val="88"/>
          <w:sz w:val="44"/>
          <w:szCs w:val="44"/>
          <w:lang w:eastAsia="zh-CN" w:bidi="ar"/>
        </w:rPr>
      </w:pPr>
    </w:p>
    <w:p w14:paraId="297BDDD7">
      <w:pPr>
        <w:kinsoku/>
        <w:autoSpaceDE/>
        <w:autoSpaceDN/>
        <w:adjustRightInd/>
        <w:snapToGrid/>
        <w:spacing w:line="560" w:lineRule="exact"/>
        <w:jc w:val="center"/>
        <w:textAlignment w:val="auto"/>
        <w:rPr>
          <w:rFonts w:ascii="方正小标宋简体" w:hAnsi="方正小标宋简体" w:eastAsia="方正小标宋简体" w:cs="方正小标宋简体"/>
          <w:snapToGrid/>
          <w:color w:val="auto"/>
          <w:w w:val="88"/>
          <w:sz w:val="44"/>
          <w:szCs w:val="44"/>
          <w:lang w:eastAsia="zh-CN" w:bidi="ar"/>
        </w:rPr>
      </w:pPr>
    </w:p>
    <w:p w14:paraId="12AAE5A6">
      <w:pPr>
        <w:kinsoku/>
        <w:autoSpaceDE/>
        <w:autoSpaceDN/>
        <w:adjustRightInd/>
        <w:snapToGrid/>
        <w:spacing w:line="560" w:lineRule="exact"/>
        <w:jc w:val="center"/>
        <w:textAlignment w:val="auto"/>
        <w:rPr>
          <w:rFonts w:ascii="方正小标宋简体" w:hAnsi="方正小标宋简体" w:eastAsia="方正小标宋简体" w:cs="方正小标宋简体"/>
          <w:snapToGrid/>
          <w:color w:val="auto"/>
          <w:w w:val="88"/>
          <w:sz w:val="44"/>
          <w:szCs w:val="44"/>
          <w:lang w:eastAsia="zh-CN" w:bidi="ar"/>
        </w:rPr>
      </w:pPr>
    </w:p>
    <w:p w14:paraId="3C0CC55E">
      <w:pPr>
        <w:kinsoku/>
        <w:autoSpaceDE/>
        <w:autoSpaceDN/>
        <w:adjustRightInd/>
        <w:snapToGrid/>
        <w:spacing w:line="560" w:lineRule="exact"/>
        <w:jc w:val="center"/>
        <w:textAlignment w:val="auto"/>
        <w:rPr>
          <w:rFonts w:ascii="方正小标宋简体" w:hAnsi="方正小标宋简体" w:eastAsia="方正小标宋简体" w:cs="方正小标宋简体"/>
          <w:snapToGrid/>
          <w:color w:val="auto"/>
          <w:w w:val="88"/>
          <w:sz w:val="44"/>
          <w:szCs w:val="44"/>
          <w:lang w:eastAsia="zh-CN" w:bidi="ar"/>
        </w:rPr>
      </w:pPr>
    </w:p>
    <w:p w14:paraId="5B1E4D11">
      <w:pPr>
        <w:kinsoku/>
        <w:autoSpaceDE/>
        <w:autoSpaceDN/>
        <w:adjustRightInd/>
        <w:snapToGrid/>
        <w:spacing w:line="560" w:lineRule="exact"/>
        <w:jc w:val="center"/>
        <w:textAlignment w:val="auto"/>
        <w:rPr>
          <w:rFonts w:hint="eastAsia" w:ascii="方正小标宋简体" w:hAnsi="方正小标宋简体" w:eastAsia="方正小标宋简体" w:cs="方正小标宋简体"/>
          <w:snapToGrid/>
          <w:color w:val="auto"/>
          <w:w w:val="88"/>
          <w:sz w:val="44"/>
          <w:szCs w:val="44"/>
          <w:lang w:eastAsia="zh-CN" w:bidi="ar"/>
        </w:rPr>
      </w:pPr>
      <w:r>
        <w:rPr>
          <w:rFonts w:hint="eastAsia" w:ascii="方正小标宋简体" w:hAnsi="方正小标宋简体" w:eastAsia="方正小标宋简体" w:cs="方正小标宋简体"/>
          <w:snapToGrid/>
          <w:color w:val="auto"/>
          <w:w w:val="88"/>
          <w:sz w:val="44"/>
          <w:szCs w:val="44"/>
          <w:lang w:eastAsia="zh-CN" w:bidi="ar"/>
        </w:rPr>
        <w:t>中共景德镇市委办公室 景德镇市人民政府办公室</w:t>
      </w:r>
    </w:p>
    <w:p w14:paraId="347F5A4C">
      <w:pPr>
        <w:kinsoku/>
        <w:autoSpaceDE/>
        <w:autoSpaceDN/>
        <w:adjustRightInd/>
        <w:snapToGrid/>
        <w:spacing w:line="560" w:lineRule="exact"/>
        <w:jc w:val="center"/>
        <w:textAlignment w:val="auto"/>
        <w:rPr>
          <w:rFonts w:hint="eastAsia" w:ascii="方正小标宋简体" w:hAnsi="方正小标宋简体" w:eastAsia="方正小标宋简体" w:cs="方正小标宋简体"/>
          <w:snapToGrid/>
          <w:color w:val="auto"/>
          <w:sz w:val="44"/>
          <w:szCs w:val="44"/>
          <w:lang w:eastAsia="zh-CN" w:bidi="ar"/>
        </w:rPr>
      </w:pPr>
      <w:r>
        <w:rPr>
          <w:rFonts w:hint="eastAsia" w:ascii="方正小标宋简体" w:hAnsi="方正小标宋简体" w:eastAsia="方正小标宋简体" w:cs="方正小标宋简体"/>
          <w:snapToGrid/>
          <w:color w:val="auto"/>
          <w:sz w:val="44"/>
          <w:szCs w:val="44"/>
          <w:lang w:eastAsia="zh-CN" w:bidi="ar"/>
        </w:rPr>
        <w:t>关于印发《景德镇市耕地保护任务清单》的通知</w:t>
      </w:r>
    </w:p>
    <w:p w14:paraId="6BA40BE6">
      <w:pPr>
        <w:kinsoku/>
        <w:autoSpaceDE/>
        <w:autoSpaceDN/>
        <w:adjustRightInd/>
        <w:snapToGrid/>
        <w:spacing w:before="312" w:beforeLines="100" w:line="560" w:lineRule="exact"/>
        <w:textAlignment w:val="auto"/>
        <w:rPr>
          <w:rFonts w:hint="eastAsia" w:ascii="方正仿宋_GB2312" w:hAnsi="方正仿宋_GB2312" w:eastAsia="方正仿宋_GB2312" w:cs="方正仿宋_GB2312"/>
          <w:snapToGrid/>
          <w:color w:val="auto"/>
          <w:sz w:val="32"/>
          <w:szCs w:val="32"/>
          <w:lang w:eastAsia="zh-CN" w:bidi="ar"/>
        </w:rPr>
      </w:pPr>
      <w:r>
        <w:rPr>
          <w:rFonts w:hint="eastAsia" w:ascii="方正仿宋_GB2312" w:hAnsi="方正仿宋_GB2312" w:eastAsia="方正仿宋_GB2312" w:cs="方正仿宋_GB2312"/>
          <w:snapToGrid/>
          <w:color w:val="auto"/>
          <w:sz w:val="32"/>
          <w:szCs w:val="32"/>
          <w:lang w:eastAsia="zh-CN" w:bidi="ar"/>
        </w:rPr>
        <w:t>各县（市、区）党委、人民政府，市委各部门，市直各单位，各人民团体：</w:t>
      </w:r>
    </w:p>
    <w:p w14:paraId="0F6979E8">
      <w:pPr>
        <w:kinsoku/>
        <w:autoSpaceDE/>
        <w:autoSpaceDN/>
        <w:adjustRightInd/>
        <w:snapToGrid/>
        <w:spacing w:line="560" w:lineRule="exact"/>
        <w:ind w:firstLine="640" w:firstLineChars="200"/>
        <w:jc w:val="both"/>
        <w:textAlignment w:val="auto"/>
        <w:rPr>
          <w:rFonts w:hint="eastAsia" w:ascii="方正仿宋_GB2312" w:hAnsi="方正仿宋_GB2312" w:eastAsia="方正仿宋_GB2312" w:cs="方正仿宋_GB2312"/>
          <w:snapToGrid/>
          <w:color w:val="auto"/>
          <w:sz w:val="32"/>
          <w:szCs w:val="32"/>
          <w:lang w:eastAsia="zh-CN" w:bidi="ar"/>
        </w:rPr>
      </w:pPr>
      <w:r>
        <w:rPr>
          <w:rFonts w:hint="eastAsia" w:ascii="方正仿宋_GB2312" w:hAnsi="方正仿宋_GB2312" w:eastAsia="方正仿宋_GB2312" w:cs="方正仿宋_GB2312"/>
          <w:snapToGrid/>
          <w:color w:val="auto"/>
          <w:sz w:val="32"/>
          <w:szCs w:val="32"/>
          <w:lang w:eastAsia="zh-CN" w:bidi="ar"/>
        </w:rPr>
        <w:t>为更好落实《中共江西省委办公厅 江西省人民政府办公厅印发关于加强耕地保护意见》（赣办发〔2023〕20号），文件精神，进一步压紧压实耕地保护和粮食安全责任，全力保障严格落实耕地保护新政策新要求，现将《景德镇市耕地保护任务清单》印发给你们，并将有关要求通知如下。</w:t>
      </w:r>
    </w:p>
    <w:p w14:paraId="5C767CCA">
      <w:pPr>
        <w:kinsoku/>
        <w:autoSpaceDE/>
        <w:autoSpaceDN/>
        <w:adjustRightInd/>
        <w:snapToGrid/>
        <w:spacing w:line="560" w:lineRule="exact"/>
        <w:ind w:firstLine="640" w:firstLineChars="200"/>
        <w:jc w:val="both"/>
        <w:textAlignment w:val="auto"/>
        <w:rPr>
          <w:rFonts w:hint="eastAsia" w:ascii="方正仿宋_GB2312" w:hAnsi="方正仿宋_GB2312" w:eastAsia="方正仿宋_GB2312" w:cs="方正仿宋_GB2312"/>
          <w:snapToGrid/>
          <w:color w:val="auto"/>
          <w:sz w:val="32"/>
          <w:szCs w:val="32"/>
          <w:lang w:eastAsia="zh-CN" w:bidi="ar"/>
        </w:rPr>
      </w:pPr>
      <w:r>
        <w:rPr>
          <w:rFonts w:hint="eastAsia" w:ascii="方正仿宋_GB2312" w:hAnsi="方正仿宋_GB2312" w:eastAsia="方正仿宋_GB2312" w:cs="方正仿宋_GB2312"/>
          <w:snapToGrid/>
          <w:color w:val="auto"/>
          <w:sz w:val="32"/>
          <w:szCs w:val="32"/>
          <w:lang w:eastAsia="zh-CN" w:bidi="ar"/>
        </w:rPr>
        <w:t>一、要深入贯彻习近平总书记关于耕地保护的重要论述和考察江西时的重要讲话精神，切实提高政治站位，完整、准确、全面贯彻新发展理念，突出量质并重、系统推进、永续利用，牢牢守住耕地红线和粮食安全底线，实行最严格的耕地保护制度，着力构建保护更加有力、机制更加健全、管理更加高效、监督更加严格的耕地保护新格局，全面提升全市耕地保护治理体系和治理能力现代化水平，肩负起把“千年瓷都”这张靓丽的名片擦得更亮的光荣使命，为奋力谱写中国式现代化的江西景德镇篇章奠定坚实基础。</w:t>
      </w:r>
    </w:p>
    <w:p w14:paraId="489E4479">
      <w:pPr>
        <w:kinsoku/>
        <w:spacing w:line="560" w:lineRule="exact"/>
        <w:ind w:firstLine="640" w:firstLineChars="200"/>
        <w:jc w:val="both"/>
        <w:rPr>
          <w:rFonts w:hint="eastAsia" w:ascii="方正仿宋_GB2312" w:hAnsi="方正仿宋_GB2312" w:eastAsia="方正仿宋_GB2312" w:cs="方正仿宋_GB2312"/>
          <w:snapToGrid/>
          <w:color w:val="auto"/>
          <w:sz w:val="32"/>
          <w:szCs w:val="32"/>
          <w:lang w:eastAsia="zh-CN" w:bidi="ar"/>
        </w:rPr>
      </w:pPr>
      <w:r>
        <w:rPr>
          <w:rFonts w:hint="eastAsia" w:ascii="方正仿宋_GB2312" w:hAnsi="方正仿宋_GB2312" w:eastAsia="方正仿宋_GB2312" w:cs="方正仿宋_GB2312"/>
          <w:snapToGrid/>
          <w:color w:val="auto"/>
          <w:sz w:val="32"/>
          <w:szCs w:val="32"/>
          <w:lang w:eastAsia="zh-CN" w:bidi="ar"/>
        </w:rPr>
        <w:t>二、要牢固树立全市一盘棋的意识，认真对照责任清单七个方面40条工作举措，既各司其职又相互配合,共同推进落实。各责任单位要提高认识、强化举措，切实履行主体责任；配合单位要强化沟通，积极配合，主动跟进，扎实做好职责范围内的各项工作；各县（市、区）要切实落实属地责任，参照完成各项任务。任务清单详见</w:t>
      </w:r>
      <w:r>
        <w:rPr>
          <w:rFonts w:hint="eastAsia" w:ascii="方正仿宋_GB2312" w:hAnsi="方正仿宋_GB2312" w:eastAsia="方正仿宋_GB2312" w:cs="方正仿宋_GB2312"/>
          <w:bCs/>
          <w:color w:val="auto"/>
          <w:sz w:val="32"/>
          <w:szCs w:val="32"/>
          <w:lang w:eastAsia="zh-CN"/>
        </w:rPr>
        <w:t>附件1。</w:t>
      </w:r>
    </w:p>
    <w:p w14:paraId="7AB5AFCB">
      <w:pPr>
        <w:kinsoku/>
        <w:autoSpaceDE/>
        <w:autoSpaceDN/>
        <w:adjustRightInd/>
        <w:snapToGrid/>
        <w:spacing w:line="560" w:lineRule="exact"/>
        <w:ind w:firstLine="640" w:firstLineChars="200"/>
        <w:jc w:val="both"/>
        <w:textAlignment w:val="auto"/>
        <w:rPr>
          <w:rFonts w:hint="eastAsia" w:ascii="方正仿宋_GB2312" w:hAnsi="方正仿宋_GB2312" w:eastAsia="方正仿宋_GB2312" w:cs="方正仿宋_GB2312"/>
          <w:snapToGrid/>
          <w:color w:val="auto"/>
          <w:sz w:val="32"/>
          <w:szCs w:val="32"/>
          <w:lang w:eastAsia="zh-CN" w:bidi="ar"/>
        </w:rPr>
      </w:pPr>
      <w:r>
        <w:rPr>
          <w:rFonts w:hint="eastAsia" w:ascii="方正仿宋_GB2312" w:hAnsi="方正仿宋_GB2312" w:eastAsia="方正仿宋_GB2312" w:cs="方正仿宋_GB2312"/>
          <w:snapToGrid/>
          <w:color w:val="auto"/>
          <w:sz w:val="32"/>
          <w:szCs w:val="32"/>
          <w:lang w:eastAsia="zh-CN" w:bidi="ar"/>
        </w:rPr>
        <w:t>三、要坚决遏制耕地“非农化”、有效防止耕地“非粮化”。坚守120.29万亩耕地保护红线，永久基本农田保护面积106.51万亩，确保全市耕地保有量、永久基本农田保护面积不低于确定的目标任务，把目标任务足额逐级分解下达到各县（市、区），统筹发展和安全、保护和保障，扎实推进耕地数量、质量和生态“三位一体”保护。同时结合自然地理条件、群众意愿、种植作物市场状况，推进全市</w:t>
      </w:r>
      <w:r>
        <w:rPr>
          <w:rFonts w:ascii="方正仿宋_GB2312" w:hAnsi="方正仿宋_GB2312" w:eastAsia="方正仿宋_GB2312" w:cs="方正仿宋_GB2312"/>
          <w:snapToGrid/>
          <w:color w:val="auto"/>
          <w:sz w:val="32"/>
          <w:szCs w:val="32"/>
          <w:lang w:eastAsia="zh-CN" w:bidi="ar"/>
        </w:rPr>
        <w:t>9.16</w:t>
      </w:r>
      <w:r>
        <w:rPr>
          <w:rFonts w:hint="eastAsia" w:ascii="方正仿宋_GB2312" w:hAnsi="方正仿宋_GB2312" w:eastAsia="方正仿宋_GB2312" w:cs="方正仿宋_GB2312"/>
          <w:snapToGrid/>
          <w:color w:val="auto"/>
          <w:sz w:val="32"/>
          <w:szCs w:val="32"/>
          <w:lang w:eastAsia="zh-CN" w:bidi="ar"/>
        </w:rPr>
        <w:t>万亩耕地缺口恢复，科学、稳妥、有序落实。实现耕地和永久基本农田布局更加合理，耕地数量稳中有增、质量稳步提升，粮食综合生产能力全面提高。耕地保有量目标任</w:t>
      </w:r>
      <w:r>
        <w:rPr>
          <w:rFonts w:hint="eastAsia" w:ascii="仿宋_GB2312" w:hAnsi="方正仿宋_GB2312" w:eastAsia="仿宋_GB2312" w:cs="方正仿宋_GB2312"/>
          <w:snapToGrid/>
          <w:color w:val="auto"/>
          <w:sz w:val="32"/>
          <w:szCs w:val="32"/>
          <w:lang w:eastAsia="zh-CN" w:bidi="ar"/>
        </w:rPr>
        <w:t>务和</w:t>
      </w:r>
      <w:r>
        <w:rPr>
          <w:rFonts w:hint="eastAsia" w:ascii="仿宋_GB2312" w:hAnsi="宋体" w:eastAsia="仿宋_GB2312" w:cs="宋体"/>
          <w:snapToGrid/>
          <w:color w:val="auto"/>
          <w:sz w:val="32"/>
          <w:szCs w:val="32"/>
          <w:lang w:eastAsia="zh-CN" w:bidi="ar"/>
        </w:rPr>
        <w:t>永久基本农田保护任务</w:t>
      </w:r>
      <w:r>
        <w:rPr>
          <w:rFonts w:hint="eastAsia" w:ascii="仿宋_GB2312" w:hAnsi="方正仿宋_GB2312" w:eastAsia="仿宋_GB2312" w:cs="方正仿宋_GB2312"/>
          <w:snapToGrid/>
          <w:color w:val="auto"/>
          <w:sz w:val="32"/>
          <w:szCs w:val="32"/>
          <w:lang w:eastAsia="zh-CN" w:bidi="ar"/>
        </w:rPr>
        <w:t>详见</w:t>
      </w:r>
      <w:r>
        <w:rPr>
          <w:rFonts w:hint="eastAsia" w:ascii="仿宋_GB2312" w:hAnsi="方正仿宋_GB2312" w:eastAsia="仿宋_GB2312" w:cs="方正仿宋_GB2312"/>
          <w:bCs/>
          <w:color w:val="auto"/>
          <w:sz w:val="32"/>
          <w:szCs w:val="32"/>
          <w:lang w:eastAsia="zh-CN"/>
        </w:rPr>
        <w:t>附件2，耕地缺口恢复任务详见附件3</w:t>
      </w:r>
      <w:r>
        <w:rPr>
          <w:rFonts w:hint="eastAsia" w:ascii="方正仿宋_GB2312" w:hAnsi="方正仿宋_GB2312" w:eastAsia="方正仿宋_GB2312" w:cs="方正仿宋_GB2312"/>
          <w:bCs/>
          <w:color w:val="auto"/>
          <w:sz w:val="32"/>
          <w:szCs w:val="32"/>
          <w:lang w:eastAsia="zh-CN"/>
        </w:rPr>
        <w:t>。</w:t>
      </w:r>
    </w:p>
    <w:p w14:paraId="2725F6C8">
      <w:pPr>
        <w:kinsoku/>
        <w:autoSpaceDE/>
        <w:autoSpaceDN/>
        <w:adjustRightInd/>
        <w:snapToGrid/>
        <w:spacing w:line="560" w:lineRule="exact"/>
        <w:ind w:firstLine="640" w:firstLineChars="200"/>
        <w:jc w:val="both"/>
        <w:textAlignment w:val="auto"/>
        <w:rPr>
          <w:rFonts w:hint="eastAsia" w:ascii="方正仿宋_GB2312" w:hAnsi="方正仿宋_GB2312" w:eastAsia="方正仿宋_GB2312" w:cs="方正仿宋_GB2312"/>
          <w:snapToGrid/>
          <w:color w:val="auto"/>
          <w:sz w:val="32"/>
          <w:szCs w:val="32"/>
          <w:lang w:eastAsia="zh-CN" w:bidi="ar"/>
        </w:rPr>
      </w:pPr>
      <w:r>
        <w:rPr>
          <w:rFonts w:hint="eastAsia" w:ascii="方正仿宋_GB2312" w:hAnsi="方正仿宋_GB2312" w:eastAsia="方正仿宋_GB2312" w:cs="方正仿宋_GB2312"/>
          <w:snapToGrid/>
          <w:color w:val="auto"/>
          <w:sz w:val="32"/>
          <w:szCs w:val="32"/>
          <w:lang w:eastAsia="zh-CN" w:bidi="ar"/>
        </w:rPr>
        <w:t>四、要建立完善促进耕地保护的工作，定期研究有利于耕地保护工作机制。同时强化宣传引导，广泛宣传我市耕地保护政策举措和工作成效，提高社会知晓度和参与度，营造全社会关心支持耕地保护的浓厚氛围。</w:t>
      </w:r>
    </w:p>
    <w:p w14:paraId="76793031">
      <w:pPr>
        <w:pStyle w:val="6"/>
        <w:kinsoku/>
        <w:jc w:val="both"/>
        <w:rPr>
          <w:rFonts w:hint="eastAsia"/>
          <w:lang w:val="en-US" w:eastAsia="zh-CN"/>
        </w:rPr>
      </w:pPr>
    </w:p>
    <w:p w14:paraId="223ACA54">
      <w:pPr>
        <w:kinsoku/>
        <w:spacing w:line="560" w:lineRule="exact"/>
        <w:ind w:firstLine="640" w:firstLineChars="200"/>
        <w:jc w:val="both"/>
        <w:rPr>
          <w:rFonts w:hint="eastAsia" w:asciiTheme="majorEastAsia" w:hAnsiTheme="majorEastAsia" w:eastAsiaTheme="majorEastAsia" w:cstheme="majorEastAsia"/>
          <w:bCs/>
          <w:color w:val="FF0000"/>
          <w:sz w:val="32"/>
          <w:szCs w:val="32"/>
          <w:lang w:eastAsia="zh-CN"/>
        </w:rPr>
      </w:pPr>
      <w:r>
        <w:rPr>
          <w:rFonts w:hint="eastAsia" w:ascii="方正仿宋_GB2312" w:hAnsi="方正仿宋_GB2312" w:eastAsia="方正仿宋_GB2312" w:cs="方正仿宋_GB2312"/>
          <w:bCs/>
          <w:color w:val="auto"/>
          <w:sz w:val="32"/>
          <w:szCs w:val="32"/>
          <w:lang w:eastAsia="zh-CN"/>
        </w:rPr>
        <w:t>附件：  1.景德镇市耕地</w:t>
      </w:r>
      <w:r>
        <w:rPr>
          <w:rFonts w:hint="eastAsia" w:ascii="方正仿宋_GB2312" w:hAnsi="方正仿宋_GB2312" w:eastAsia="方正仿宋_GB2312" w:cs="方正仿宋_GB2312"/>
          <w:bCs/>
          <w:color w:val="000000" w:themeColor="text1"/>
          <w:sz w:val="32"/>
          <w:szCs w:val="32"/>
          <w:lang w:eastAsia="zh-CN"/>
          <w14:textFill>
            <w14:solidFill>
              <w14:schemeClr w14:val="tx1"/>
            </w14:solidFill>
          </w14:textFill>
        </w:rPr>
        <w:t>保护</w:t>
      </w:r>
      <w:r>
        <w:rPr>
          <w:rFonts w:hint="eastAsia" w:ascii="方正仿宋_GB2312" w:hAnsi="方正仿宋_GB2312" w:eastAsia="方正仿宋_GB2312" w:cs="方正仿宋_GB2312"/>
          <w:snapToGrid/>
          <w:color w:val="auto"/>
          <w:sz w:val="32"/>
          <w:szCs w:val="32"/>
          <w:lang w:eastAsia="zh-CN" w:bidi="ar"/>
        </w:rPr>
        <w:t>任务</w:t>
      </w:r>
      <w:r>
        <w:rPr>
          <w:rFonts w:hint="eastAsia" w:ascii="方正仿宋_GB2312" w:hAnsi="方正仿宋_GB2312" w:eastAsia="方正仿宋_GB2312" w:cs="方正仿宋_GB2312"/>
          <w:bCs/>
          <w:color w:val="000000" w:themeColor="text1"/>
          <w:sz w:val="32"/>
          <w:szCs w:val="32"/>
          <w:lang w:eastAsia="zh-CN"/>
          <w14:textFill>
            <w14:solidFill>
              <w14:schemeClr w14:val="tx1"/>
            </w14:solidFill>
          </w14:textFill>
        </w:rPr>
        <w:t>清单</w:t>
      </w:r>
    </w:p>
    <w:p w14:paraId="4470BC2D">
      <w:pPr>
        <w:kinsoku/>
        <w:autoSpaceDE/>
        <w:autoSpaceDN/>
        <w:adjustRightInd/>
        <w:snapToGrid/>
        <w:spacing w:line="560" w:lineRule="exact"/>
        <w:ind w:left="2210" w:leftChars="900" w:hanging="320" w:hangingChars="100"/>
        <w:textAlignment w:val="auto"/>
        <w:rPr>
          <w:rFonts w:hint="eastAsia" w:ascii="方正仿宋_GB2312" w:hAnsi="方正仿宋_GB2312" w:eastAsia="方正仿宋_GB2312" w:cs="方正仿宋_GB2312"/>
          <w:bCs/>
          <w:color w:val="auto"/>
          <w:sz w:val="32"/>
          <w:szCs w:val="32"/>
          <w:lang w:eastAsia="zh-CN"/>
        </w:rPr>
      </w:pPr>
      <w:r>
        <w:rPr>
          <w:rFonts w:hint="eastAsia" w:ascii="方正仿宋_GB2312" w:hAnsi="方正仿宋_GB2312" w:eastAsia="方正仿宋_GB2312" w:cs="方正仿宋_GB2312"/>
          <w:bCs/>
          <w:color w:val="auto"/>
          <w:sz w:val="32"/>
          <w:szCs w:val="32"/>
          <w:lang w:eastAsia="zh-CN"/>
        </w:rPr>
        <w:t>2.景德镇市耕地保有量和永久基本农田保护目   标任务</w:t>
      </w:r>
    </w:p>
    <w:p w14:paraId="33EFE503">
      <w:pPr>
        <w:kinsoku/>
        <w:autoSpaceDE/>
        <w:autoSpaceDN/>
        <w:adjustRightInd/>
        <w:snapToGrid/>
        <w:spacing w:line="560" w:lineRule="exact"/>
        <w:ind w:firstLine="1920" w:firstLineChars="600"/>
        <w:textAlignment w:val="auto"/>
        <w:rPr>
          <w:rFonts w:hint="eastAsia" w:ascii="方正仿宋_GB2312" w:hAnsi="方正仿宋_GB2312" w:eastAsia="方正仿宋_GB2312" w:cs="方正仿宋_GB2312"/>
          <w:bCs/>
          <w:color w:val="auto"/>
          <w:sz w:val="32"/>
          <w:szCs w:val="32"/>
          <w:lang w:eastAsia="zh-CN"/>
        </w:rPr>
      </w:pPr>
      <w:r>
        <w:rPr>
          <w:rFonts w:hint="eastAsia" w:ascii="方正仿宋_GB2312" w:hAnsi="方正仿宋_GB2312" w:eastAsia="方正仿宋_GB2312" w:cs="方正仿宋_GB2312"/>
          <w:bCs/>
          <w:color w:val="auto"/>
          <w:sz w:val="32"/>
          <w:szCs w:val="32"/>
          <w:lang w:eastAsia="zh-CN"/>
        </w:rPr>
        <w:t>3.景德镇市耕地缺口任务恢复计划表</w:t>
      </w:r>
    </w:p>
    <w:p w14:paraId="153175B1">
      <w:pPr>
        <w:kinsoku/>
        <w:autoSpaceDE/>
        <w:autoSpaceDN/>
        <w:adjustRightInd/>
        <w:snapToGrid/>
        <w:spacing w:line="560" w:lineRule="exact"/>
        <w:ind w:firstLine="960" w:firstLineChars="300"/>
        <w:textAlignment w:val="auto"/>
        <w:rPr>
          <w:rFonts w:ascii="方正仿宋_GB2312" w:hAnsi="方正仿宋_GB2312" w:eastAsia="方正仿宋_GB2312" w:cs="方正仿宋_GB2312"/>
          <w:bCs/>
          <w:color w:val="auto"/>
          <w:sz w:val="32"/>
          <w:szCs w:val="32"/>
          <w:lang w:eastAsia="zh-CN"/>
        </w:rPr>
      </w:pPr>
    </w:p>
    <w:p w14:paraId="0365CAA5">
      <w:pPr>
        <w:kinsoku/>
        <w:autoSpaceDE/>
        <w:autoSpaceDN/>
        <w:adjustRightInd/>
        <w:snapToGrid/>
        <w:spacing w:line="560" w:lineRule="exact"/>
        <w:ind w:firstLine="960" w:firstLineChars="300"/>
        <w:textAlignment w:val="auto"/>
        <w:rPr>
          <w:rFonts w:hint="eastAsia" w:ascii="方正仿宋_GB2312" w:hAnsi="方正仿宋_GB2312" w:eastAsia="方正仿宋_GB2312" w:cs="方正仿宋_GB2312"/>
          <w:bCs/>
          <w:color w:val="auto"/>
          <w:sz w:val="32"/>
          <w:szCs w:val="32"/>
          <w:lang w:eastAsia="zh-CN"/>
        </w:rPr>
      </w:pPr>
    </w:p>
    <w:p w14:paraId="3BF9A2C5">
      <w:pPr>
        <w:kinsoku/>
        <w:autoSpaceDE/>
        <w:autoSpaceDN/>
        <w:adjustRightInd/>
        <w:snapToGrid/>
        <w:spacing w:line="560" w:lineRule="exact"/>
        <w:ind w:firstLine="640" w:firstLineChars="200"/>
        <w:textAlignment w:val="auto"/>
        <w:rPr>
          <w:rFonts w:hint="eastAsia" w:ascii="方正仿宋_GB2312" w:hAnsi="方正仿宋_GB2312" w:eastAsia="方正仿宋_GB2312" w:cs="方正仿宋_GB2312"/>
          <w:snapToGrid/>
          <w:color w:val="auto"/>
          <w:sz w:val="32"/>
          <w:szCs w:val="32"/>
          <w:lang w:eastAsia="zh-CN" w:bidi="ar"/>
        </w:rPr>
      </w:pPr>
      <w:r>
        <w:rPr>
          <w:rFonts w:hint="eastAsia" w:ascii="方正仿宋_GB2312" w:hAnsi="方正仿宋_GB2312" w:eastAsia="方正仿宋_GB2312" w:cs="方正仿宋_GB2312"/>
          <w:snapToGrid/>
          <w:color w:val="auto"/>
          <w:sz w:val="32"/>
          <w:szCs w:val="32"/>
          <w:lang w:eastAsia="zh-CN" w:bidi="ar"/>
        </w:rPr>
        <w:t>景德镇市委办公室        景德镇市人民政府办公室</w:t>
      </w:r>
    </w:p>
    <w:p w14:paraId="72E62AF1">
      <w:pPr>
        <w:kinsoku/>
        <w:autoSpaceDE/>
        <w:autoSpaceDN/>
        <w:adjustRightInd/>
        <w:snapToGrid/>
        <w:spacing w:line="560" w:lineRule="exact"/>
        <w:ind w:firstLine="640" w:firstLineChars="200"/>
        <w:textAlignment w:val="auto"/>
        <w:rPr>
          <w:rFonts w:hint="eastAsia" w:ascii="方正仿宋_GB2312" w:hAnsi="方正仿宋_GB2312" w:eastAsia="方正仿宋_GB2312" w:cs="方正仿宋_GB2312"/>
          <w:snapToGrid/>
          <w:color w:val="auto"/>
          <w:sz w:val="32"/>
          <w:szCs w:val="32"/>
          <w:lang w:eastAsia="zh-CN" w:bidi="ar"/>
        </w:rPr>
      </w:pPr>
      <w:r>
        <w:rPr>
          <w:rFonts w:hint="eastAsia" w:ascii="方正仿宋_GB2312" w:hAnsi="方正仿宋_GB2312" w:eastAsia="方正仿宋_GB2312" w:cs="方正仿宋_GB2312"/>
          <w:snapToGrid/>
          <w:color w:val="auto"/>
          <w:sz w:val="32"/>
          <w:szCs w:val="32"/>
          <w:lang w:eastAsia="zh-CN" w:bidi="ar"/>
        </w:rPr>
        <w:t xml:space="preserve">                             2024年 月 日</w:t>
      </w:r>
    </w:p>
    <w:p w14:paraId="64B3EE59">
      <w:pPr>
        <w:pStyle w:val="6"/>
        <w:kinsoku/>
        <w:ind w:left="0"/>
        <w:rPr>
          <w:rFonts w:hint="eastAsia"/>
          <w:lang w:val="en-US" w:eastAsia="zh-CN"/>
        </w:rPr>
        <w:sectPr>
          <w:footerReference r:id="rId3" w:type="default"/>
          <w:pgSz w:w="11906" w:h="16838"/>
          <w:pgMar w:top="1440" w:right="1800" w:bottom="1440" w:left="1800" w:header="851" w:footer="992" w:gutter="0"/>
          <w:pgNumType w:start="1"/>
          <w:cols w:space="425" w:num="1"/>
          <w:docGrid w:type="lines" w:linePitch="312" w:charSpace="0"/>
        </w:sectPr>
      </w:pPr>
    </w:p>
    <w:p w14:paraId="73E8CED1">
      <w:pPr>
        <w:kinsoku/>
        <w:spacing w:line="560" w:lineRule="exact"/>
        <w:rPr>
          <w:rFonts w:hint="eastAsia" w:ascii="黑体" w:hAnsi="黑体" w:eastAsia="黑体" w:cs="方正仿宋_GB2312"/>
          <w:bCs/>
          <w:color w:val="auto"/>
          <w:sz w:val="32"/>
          <w:szCs w:val="32"/>
          <w:lang w:eastAsia="zh-CN"/>
        </w:rPr>
      </w:pPr>
      <w:r>
        <w:rPr>
          <w:rFonts w:hint="eastAsia" w:ascii="黑体" w:hAnsi="黑体" w:eastAsia="黑体" w:cs="方正仿宋_GB2312"/>
          <w:bCs/>
          <w:color w:val="auto"/>
          <w:sz w:val="32"/>
          <w:szCs w:val="32"/>
          <w:lang w:eastAsia="zh-CN"/>
        </w:rPr>
        <w:t>附件1</w:t>
      </w:r>
    </w:p>
    <w:tbl>
      <w:tblPr>
        <w:tblStyle w:val="9"/>
        <w:tblW w:w="4960" w:type="pct"/>
        <w:tblInd w:w="0" w:type="dxa"/>
        <w:tblLayout w:type="autofit"/>
        <w:tblCellMar>
          <w:top w:w="0" w:type="dxa"/>
          <w:left w:w="108" w:type="dxa"/>
          <w:bottom w:w="0" w:type="dxa"/>
          <w:right w:w="108" w:type="dxa"/>
        </w:tblCellMar>
      </w:tblPr>
      <w:tblGrid>
        <w:gridCol w:w="734"/>
        <w:gridCol w:w="1223"/>
        <w:gridCol w:w="7615"/>
        <w:gridCol w:w="2239"/>
        <w:gridCol w:w="2250"/>
      </w:tblGrid>
      <w:tr w14:paraId="229EC715">
        <w:tblPrEx>
          <w:tblCellMar>
            <w:top w:w="0" w:type="dxa"/>
            <w:left w:w="108" w:type="dxa"/>
            <w:bottom w:w="0" w:type="dxa"/>
            <w:right w:w="108" w:type="dxa"/>
          </w:tblCellMar>
        </w:tblPrEx>
        <w:trPr>
          <w:trHeight w:val="915" w:hRule="atLeast"/>
        </w:trPr>
        <w:tc>
          <w:tcPr>
            <w:tcW w:w="5000" w:type="pct"/>
            <w:gridSpan w:val="5"/>
            <w:tcBorders>
              <w:top w:val="nil"/>
              <w:left w:val="nil"/>
              <w:bottom w:val="nil"/>
              <w:right w:val="nil"/>
            </w:tcBorders>
            <w:shd w:val="clear" w:color="auto" w:fill="auto"/>
            <w:noWrap/>
            <w:vAlign w:val="center"/>
          </w:tcPr>
          <w:p w14:paraId="45532AD3">
            <w:pPr>
              <w:kinsoku/>
              <w:jc w:val="center"/>
              <w:textAlignment w:val="center"/>
              <w:rPr>
                <w:rFonts w:hint="eastAsia" w:ascii="方正仿宋_GB2312" w:hAnsi="方正仿宋_GB2312" w:eastAsia="方正仿宋_GB2312" w:cs="方正仿宋_GB2312"/>
                <w:b/>
                <w:bCs/>
                <w:sz w:val="24"/>
                <w:szCs w:val="24"/>
                <w:lang w:eastAsia="zh-CN"/>
              </w:rPr>
            </w:pPr>
            <w:r>
              <w:rPr>
                <w:rFonts w:hint="eastAsia" w:ascii="方正小标宋简体" w:hAnsi="方正小标宋简体" w:eastAsia="方正小标宋简体" w:cs="方正小标宋简体"/>
                <w:sz w:val="32"/>
                <w:szCs w:val="32"/>
                <w:lang w:eastAsia="zh-CN" w:bidi="ar"/>
              </w:rPr>
              <w:t>景德镇市耕地保护任务清单</w:t>
            </w:r>
          </w:p>
        </w:tc>
      </w:tr>
      <w:tr w14:paraId="15EDB8A7">
        <w:tblPrEx>
          <w:tblCellMar>
            <w:top w:w="0" w:type="dxa"/>
            <w:left w:w="108" w:type="dxa"/>
            <w:bottom w:w="0" w:type="dxa"/>
            <w:right w:w="108" w:type="dxa"/>
          </w:tblCellMar>
        </w:tblPrEx>
        <w:trPr>
          <w:trHeight w:val="510" w:hRule="atLeast"/>
        </w:trPr>
        <w:tc>
          <w:tcPr>
            <w:tcW w:w="26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0482FB8">
            <w:pPr>
              <w:kinsoku/>
              <w:jc w:val="center"/>
              <w:textAlignment w:val="center"/>
              <w:rPr>
                <w:rFonts w:hint="eastAsia" w:ascii="黑体" w:hAnsi="黑体" w:eastAsia="黑体" w:cs="黑体"/>
                <w:sz w:val="24"/>
                <w:szCs w:val="24"/>
              </w:rPr>
            </w:pPr>
            <w:r>
              <w:rPr>
                <w:rFonts w:hint="eastAsia" w:ascii="黑体" w:hAnsi="黑体" w:eastAsia="黑体" w:cs="黑体"/>
                <w:sz w:val="24"/>
                <w:szCs w:val="24"/>
                <w:lang w:eastAsia="zh-CN" w:bidi="ar"/>
              </w:rPr>
              <w:t>序号</w:t>
            </w:r>
          </w:p>
        </w:tc>
        <w:tc>
          <w:tcPr>
            <w:tcW w:w="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5B7D70">
            <w:pPr>
              <w:kinsoku/>
              <w:jc w:val="center"/>
              <w:textAlignment w:val="center"/>
              <w:rPr>
                <w:rFonts w:hint="eastAsia" w:ascii="黑体" w:hAnsi="黑体" w:eastAsia="黑体" w:cs="黑体"/>
                <w:sz w:val="24"/>
                <w:szCs w:val="24"/>
              </w:rPr>
            </w:pPr>
            <w:r>
              <w:rPr>
                <w:rFonts w:hint="eastAsia" w:ascii="黑体" w:hAnsi="黑体" w:eastAsia="黑体" w:cs="黑体"/>
                <w:sz w:val="24"/>
                <w:szCs w:val="24"/>
                <w:lang w:eastAsia="zh-CN" w:bidi="ar"/>
              </w:rPr>
              <w:t>主要任务</w:t>
            </w:r>
          </w:p>
        </w:tc>
        <w:tc>
          <w:tcPr>
            <w:tcW w:w="27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CE7F220">
            <w:pPr>
              <w:kinsoku/>
              <w:jc w:val="center"/>
              <w:textAlignment w:val="center"/>
              <w:rPr>
                <w:rFonts w:hint="eastAsia" w:ascii="黑体" w:hAnsi="黑体" w:eastAsia="黑体" w:cs="黑体"/>
                <w:sz w:val="24"/>
                <w:szCs w:val="24"/>
              </w:rPr>
            </w:pPr>
            <w:r>
              <w:rPr>
                <w:rFonts w:hint="eastAsia" w:ascii="黑体" w:hAnsi="黑体" w:eastAsia="黑体" w:cs="黑体"/>
                <w:sz w:val="24"/>
                <w:szCs w:val="24"/>
                <w:lang w:eastAsia="zh-CN" w:bidi="ar"/>
              </w:rPr>
              <w:t>工作举措</w:t>
            </w:r>
          </w:p>
        </w:tc>
        <w:tc>
          <w:tcPr>
            <w:tcW w:w="7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940978E">
            <w:pPr>
              <w:kinsoku/>
              <w:jc w:val="center"/>
              <w:textAlignment w:val="center"/>
              <w:rPr>
                <w:rFonts w:hint="eastAsia" w:ascii="黑体" w:hAnsi="黑体" w:eastAsia="黑体" w:cs="黑体"/>
                <w:sz w:val="24"/>
                <w:szCs w:val="24"/>
              </w:rPr>
            </w:pPr>
            <w:r>
              <w:rPr>
                <w:rFonts w:hint="eastAsia" w:ascii="黑体" w:hAnsi="黑体" w:eastAsia="黑体" w:cs="黑体"/>
                <w:sz w:val="24"/>
                <w:szCs w:val="24"/>
                <w:lang w:eastAsia="zh-CN" w:bidi="ar"/>
              </w:rPr>
              <w:t>责任单位</w:t>
            </w:r>
          </w:p>
        </w:tc>
        <w:tc>
          <w:tcPr>
            <w:tcW w:w="79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030BF0">
            <w:pPr>
              <w:kinsoku/>
              <w:jc w:val="center"/>
              <w:textAlignment w:val="center"/>
              <w:rPr>
                <w:rFonts w:hint="eastAsia" w:ascii="黑体" w:hAnsi="黑体" w:eastAsia="黑体" w:cs="黑体"/>
                <w:sz w:val="24"/>
                <w:szCs w:val="24"/>
              </w:rPr>
            </w:pPr>
            <w:r>
              <w:rPr>
                <w:rFonts w:hint="eastAsia" w:ascii="黑体" w:hAnsi="黑体" w:eastAsia="黑体" w:cs="黑体"/>
                <w:sz w:val="24"/>
                <w:szCs w:val="24"/>
                <w:lang w:eastAsia="zh-CN" w:bidi="ar"/>
              </w:rPr>
              <w:t>配合单位</w:t>
            </w:r>
          </w:p>
        </w:tc>
      </w:tr>
      <w:tr w14:paraId="1289FF7C">
        <w:tblPrEx>
          <w:tblCellMar>
            <w:top w:w="0" w:type="dxa"/>
            <w:left w:w="108" w:type="dxa"/>
            <w:bottom w:w="0" w:type="dxa"/>
            <w:right w:w="108" w:type="dxa"/>
          </w:tblCellMar>
        </w:tblPrEx>
        <w:trPr>
          <w:trHeight w:val="531"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noWrap/>
            <w:vAlign w:val="center"/>
          </w:tcPr>
          <w:p w14:paraId="5BD19690">
            <w:pPr>
              <w:kinsoku/>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b/>
                <w:bCs/>
                <w:sz w:val="24"/>
                <w:szCs w:val="24"/>
                <w:lang w:eastAsia="zh-CN" w:bidi="ar"/>
              </w:rPr>
              <w:t>一、明细责任</w:t>
            </w:r>
          </w:p>
        </w:tc>
      </w:tr>
      <w:tr w14:paraId="5A576FE7">
        <w:tblPrEx>
          <w:tblCellMar>
            <w:top w:w="0" w:type="dxa"/>
            <w:left w:w="108" w:type="dxa"/>
            <w:bottom w:w="0" w:type="dxa"/>
            <w:right w:w="108" w:type="dxa"/>
          </w:tblCellMar>
        </w:tblPrEx>
        <w:trPr>
          <w:trHeight w:val="1563" w:hRule="atLeast"/>
        </w:trPr>
        <w:tc>
          <w:tcPr>
            <w:tcW w:w="26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31B0479">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1</w:t>
            </w:r>
          </w:p>
        </w:tc>
        <w:tc>
          <w:tcPr>
            <w:tcW w:w="43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E877A49">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强化地方党委、人民政府主要责任</w:t>
            </w:r>
          </w:p>
        </w:tc>
        <w:tc>
          <w:tcPr>
            <w:tcW w:w="27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6B24AD">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1.切实担负起耕地保护主体责任，进一步强化保护耕地意识，压实党政同责，扛稳扛牢耕地保护和粮食安全的政治责任。党委、政府逐级签订耕地保护目标责任书，压实耕地保护责任，实行耕地保护党政同责、严格考核、一票否决、终身追责。</w:t>
            </w:r>
          </w:p>
        </w:tc>
        <w:tc>
          <w:tcPr>
            <w:tcW w:w="7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6AD8BD">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县（市、区）党委、人民政府</w:t>
            </w:r>
          </w:p>
        </w:tc>
        <w:tc>
          <w:tcPr>
            <w:tcW w:w="79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109A6F9">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市自然资源规划局、市农业农村局、市林业局、市水利局</w:t>
            </w:r>
          </w:p>
        </w:tc>
      </w:tr>
      <w:tr w14:paraId="46837685">
        <w:tblPrEx>
          <w:tblCellMar>
            <w:top w:w="0" w:type="dxa"/>
            <w:left w:w="108" w:type="dxa"/>
            <w:bottom w:w="0" w:type="dxa"/>
            <w:right w:w="108" w:type="dxa"/>
          </w:tblCellMar>
        </w:tblPrEx>
        <w:trPr>
          <w:trHeight w:val="1563" w:hRule="atLeast"/>
        </w:trPr>
        <w:tc>
          <w:tcPr>
            <w:tcW w:w="26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76CDBC3">
            <w:pPr>
              <w:kinsoku/>
              <w:jc w:val="center"/>
              <w:rPr>
                <w:rFonts w:hint="eastAsia" w:ascii="方正仿宋_GB2312" w:hAnsi="方正仿宋_GB2312" w:eastAsia="方正仿宋_GB2312" w:cs="方正仿宋_GB2312"/>
                <w:sz w:val="24"/>
                <w:szCs w:val="24"/>
                <w:lang w:eastAsia="zh-CN"/>
              </w:rPr>
            </w:pPr>
          </w:p>
        </w:tc>
        <w:tc>
          <w:tcPr>
            <w:tcW w:w="43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637C8CA">
            <w:pPr>
              <w:kinsoku/>
              <w:rPr>
                <w:rFonts w:hint="eastAsia" w:ascii="方正仿宋_GB2312" w:hAnsi="方正仿宋_GB2312" w:eastAsia="方正仿宋_GB2312" w:cs="方正仿宋_GB2312"/>
                <w:sz w:val="24"/>
                <w:szCs w:val="24"/>
                <w:lang w:eastAsia="zh-CN"/>
              </w:rPr>
            </w:pPr>
          </w:p>
        </w:tc>
        <w:tc>
          <w:tcPr>
            <w:tcW w:w="27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51EDE60">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2.按照“属地管理、全面覆盖、责任到人”的原则，建立乡(镇、街道)领导驻村、包片负责制度，结合日常工作，加强动态监测，充分运用现代信息技术，结合实地巡查等方式，及时发现、制止、报告、处理违法占用、破坏耕地和将耕地转为其他农用地的行为。</w:t>
            </w:r>
          </w:p>
        </w:tc>
        <w:tc>
          <w:tcPr>
            <w:tcW w:w="7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45DF6A">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县（市、区）党委、人民政府</w:t>
            </w:r>
          </w:p>
        </w:tc>
        <w:tc>
          <w:tcPr>
            <w:tcW w:w="79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F98DDD8">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市自然资源规划局、市农业农村局、市林业局、市水利局</w:t>
            </w:r>
          </w:p>
        </w:tc>
      </w:tr>
      <w:tr w14:paraId="4E19C2B8">
        <w:tblPrEx>
          <w:tblCellMar>
            <w:top w:w="0" w:type="dxa"/>
            <w:left w:w="108" w:type="dxa"/>
            <w:bottom w:w="0" w:type="dxa"/>
            <w:right w:w="108" w:type="dxa"/>
          </w:tblCellMar>
        </w:tblPrEx>
        <w:trPr>
          <w:trHeight w:val="1047" w:hRule="atLeast"/>
        </w:trPr>
        <w:tc>
          <w:tcPr>
            <w:tcW w:w="261" w:type="pct"/>
            <w:vMerge w:val="restart"/>
            <w:tcBorders>
              <w:top w:val="single" w:color="000000" w:sz="8" w:space="0"/>
              <w:left w:val="single" w:color="000000" w:sz="8" w:space="0"/>
              <w:bottom w:val="nil"/>
              <w:right w:val="single" w:color="000000" w:sz="8" w:space="0"/>
            </w:tcBorders>
            <w:shd w:val="clear" w:color="auto" w:fill="auto"/>
            <w:vAlign w:val="center"/>
          </w:tcPr>
          <w:p w14:paraId="3C6697FF">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2</w:t>
            </w:r>
          </w:p>
        </w:tc>
        <w:tc>
          <w:tcPr>
            <w:tcW w:w="435" w:type="pct"/>
            <w:vMerge w:val="restart"/>
            <w:tcBorders>
              <w:top w:val="single" w:color="000000" w:sz="8" w:space="0"/>
              <w:left w:val="single" w:color="000000" w:sz="8" w:space="0"/>
              <w:bottom w:val="nil"/>
              <w:right w:val="single" w:color="000000" w:sz="8" w:space="0"/>
            </w:tcBorders>
            <w:shd w:val="clear" w:color="auto" w:fill="auto"/>
            <w:vAlign w:val="center"/>
          </w:tcPr>
          <w:p w14:paraId="46E1D6A5">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建立跨部门协调协作机制</w:t>
            </w:r>
          </w:p>
        </w:tc>
        <w:tc>
          <w:tcPr>
            <w:tcW w:w="27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0F45CF1">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3.履行耕地保护监督责任，对耕地保护责任落实情况进行监督，推动耕地保护制度落实，细化分解耕地保护责任目标，建立完善耕地管护体系，遏制耕地“非农化”。</w:t>
            </w:r>
          </w:p>
        </w:tc>
        <w:tc>
          <w:tcPr>
            <w:tcW w:w="7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99E8410">
            <w:pPr>
              <w:kinsoku/>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市自然资源规划局</w:t>
            </w:r>
          </w:p>
        </w:tc>
        <w:tc>
          <w:tcPr>
            <w:tcW w:w="79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13D0C9C">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县（市、区）党委、人民政府</w:t>
            </w:r>
          </w:p>
        </w:tc>
      </w:tr>
      <w:tr w14:paraId="1EE54914">
        <w:tblPrEx>
          <w:tblCellMar>
            <w:top w:w="0" w:type="dxa"/>
            <w:left w:w="108" w:type="dxa"/>
            <w:bottom w:w="0" w:type="dxa"/>
            <w:right w:w="108" w:type="dxa"/>
          </w:tblCellMar>
        </w:tblPrEx>
        <w:trPr>
          <w:trHeight w:val="1136" w:hRule="atLeast"/>
        </w:trPr>
        <w:tc>
          <w:tcPr>
            <w:tcW w:w="261" w:type="pct"/>
            <w:vMerge w:val="continue"/>
            <w:tcBorders>
              <w:top w:val="nil"/>
              <w:left w:val="single" w:color="000000" w:sz="8" w:space="0"/>
              <w:bottom w:val="single" w:color="000000" w:sz="8" w:space="0"/>
              <w:right w:val="single" w:color="000000" w:sz="8" w:space="0"/>
            </w:tcBorders>
            <w:shd w:val="clear" w:color="auto" w:fill="auto"/>
            <w:vAlign w:val="center"/>
          </w:tcPr>
          <w:p w14:paraId="4D4FE509">
            <w:pPr>
              <w:kinsoku/>
              <w:jc w:val="center"/>
              <w:rPr>
                <w:rFonts w:hint="eastAsia" w:ascii="方正仿宋_GB2312" w:hAnsi="方正仿宋_GB2312" w:eastAsia="方正仿宋_GB2312" w:cs="方正仿宋_GB2312"/>
                <w:sz w:val="24"/>
                <w:szCs w:val="24"/>
                <w:lang w:eastAsia="zh-CN"/>
              </w:rPr>
            </w:pPr>
          </w:p>
        </w:tc>
        <w:tc>
          <w:tcPr>
            <w:tcW w:w="435" w:type="pct"/>
            <w:vMerge w:val="continue"/>
            <w:tcBorders>
              <w:top w:val="nil"/>
              <w:left w:val="single" w:color="000000" w:sz="8" w:space="0"/>
              <w:bottom w:val="single" w:color="000000" w:sz="8" w:space="0"/>
              <w:right w:val="single" w:color="000000" w:sz="8" w:space="0"/>
            </w:tcBorders>
            <w:shd w:val="clear" w:color="auto" w:fill="auto"/>
            <w:vAlign w:val="center"/>
          </w:tcPr>
          <w:p w14:paraId="0D125C18">
            <w:pPr>
              <w:kinsoku/>
              <w:rPr>
                <w:rFonts w:hint="eastAsia" w:ascii="方正仿宋_GB2312" w:hAnsi="方正仿宋_GB2312" w:eastAsia="方正仿宋_GB2312" w:cs="方正仿宋_GB2312"/>
                <w:sz w:val="24"/>
                <w:szCs w:val="24"/>
                <w:lang w:eastAsia="zh-CN"/>
              </w:rPr>
            </w:pPr>
          </w:p>
        </w:tc>
        <w:tc>
          <w:tcPr>
            <w:tcW w:w="270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463C5AF">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4.履行对耕地“非粮化”问题的整治和监管，加强对耕地质量管控和受污染耕地安全利用。</w:t>
            </w:r>
          </w:p>
        </w:tc>
        <w:tc>
          <w:tcPr>
            <w:tcW w:w="79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A3908E">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市农业农村局、市自然资源规划局</w:t>
            </w:r>
          </w:p>
        </w:tc>
        <w:tc>
          <w:tcPr>
            <w:tcW w:w="79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7ED8A73">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县（市、区）党委、人民政府</w:t>
            </w:r>
          </w:p>
        </w:tc>
      </w:tr>
    </w:tbl>
    <w:p w14:paraId="5D313BF0">
      <w:pPr>
        <w:kinsoku/>
        <w:rPr>
          <w:lang w:eastAsia="zh-CN"/>
        </w:rPr>
      </w:pPr>
    </w:p>
    <w:tbl>
      <w:tblPr>
        <w:tblStyle w:val="9"/>
        <w:tblW w:w="4960" w:type="pct"/>
        <w:tblInd w:w="0" w:type="dxa"/>
        <w:tblLayout w:type="autofit"/>
        <w:tblCellMar>
          <w:top w:w="0" w:type="dxa"/>
          <w:left w:w="108" w:type="dxa"/>
          <w:bottom w:w="0" w:type="dxa"/>
          <w:right w:w="108" w:type="dxa"/>
        </w:tblCellMar>
      </w:tblPr>
      <w:tblGrid>
        <w:gridCol w:w="785"/>
        <w:gridCol w:w="1187"/>
        <w:gridCol w:w="7645"/>
        <w:gridCol w:w="2267"/>
        <w:gridCol w:w="2177"/>
      </w:tblGrid>
      <w:tr w14:paraId="0D2BE274">
        <w:tblPrEx>
          <w:tblCellMar>
            <w:top w:w="0" w:type="dxa"/>
            <w:left w:w="108" w:type="dxa"/>
            <w:bottom w:w="0" w:type="dxa"/>
            <w:right w:w="108" w:type="dxa"/>
          </w:tblCellMar>
        </w:tblPrEx>
        <w:trPr>
          <w:trHeight w:val="510" w:hRule="atLeast"/>
        </w:trPr>
        <w:tc>
          <w:tcPr>
            <w:tcW w:w="27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4D53E74">
            <w:pPr>
              <w:kinsoku/>
              <w:jc w:val="center"/>
              <w:textAlignment w:val="center"/>
              <w:rPr>
                <w:rFonts w:hint="eastAsia" w:ascii="黑体" w:hAnsi="黑体" w:eastAsia="黑体" w:cs="黑体"/>
                <w:sz w:val="24"/>
                <w:szCs w:val="24"/>
                <w:lang w:eastAsia="zh-CN" w:bidi="ar"/>
              </w:rPr>
            </w:pPr>
            <w:r>
              <w:rPr>
                <w:lang w:eastAsia="zh-CN"/>
              </w:rPr>
              <w:br w:type="page"/>
            </w:r>
            <w:r>
              <w:rPr>
                <w:rFonts w:ascii="黑体" w:hAnsi="黑体" w:eastAsia="黑体" w:cs="黑体"/>
                <w:sz w:val="24"/>
                <w:szCs w:val="24"/>
                <w:lang w:eastAsia="zh-CN" w:bidi="ar"/>
              </w:rPr>
              <w:t>序号</w:t>
            </w: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3C9C0EE">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主要任务</w:t>
            </w:r>
          </w:p>
        </w:tc>
        <w:tc>
          <w:tcPr>
            <w:tcW w:w="271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FB4DAB">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工作举措</w:t>
            </w:r>
          </w:p>
        </w:tc>
        <w:tc>
          <w:tcPr>
            <w:tcW w:w="80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CDF5F7B">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责任单位</w:t>
            </w:r>
          </w:p>
        </w:tc>
        <w:tc>
          <w:tcPr>
            <w:tcW w:w="7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05EBAAA">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配合单位</w:t>
            </w:r>
          </w:p>
        </w:tc>
      </w:tr>
      <w:tr w14:paraId="22BE3DB4">
        <w:tblPrEx>
          <w:tblCellMar>
            <w:top w:w="0" w:type="dxa"/>
            <w:left w:w="108" w:type="dxa"/>
            <w:bottom w:w="0" w:type="dxa"/>
            <w:right w:w="108" w:type="dxa"/>
          </w:tblCellMar>
        </w:tblPrEx>
        <w:trPr>
          <w:trHeight w:val="531" w:hRule="atLeast"/>
        </w:trPr>
        <w:tc>
          <w:tcPr>
            <w:tcW w:w="279" w:type="pct"/>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679B35AF">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2</w:t>
            </w:r>
          </w:p>
        </w:tc>
        <w:tc>
          <w:tcPr>
            <w:tcW w:w="422" w:type="pct"/>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8676798">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建立跨部门协调协作机制</w:t>
            </w:r>
          </w:p>
        </w:tc>
        <w:tc>
          <w:tcPr>
            <w:tcW w:w="2718" w:type="pct"/>
            <w:tcBorders>
              <w:top w:val="single" w:color="000000" w:sz="8" w:space="0"/>
              <w:left w:val="single" w:color="000000" w:sz="4" w:space="0"/>
              <w:bottom w:val="single" w:color="000000" w:sz="4" w:space="0"/>
              <w:right w:val="single" w:color="000000" w:sz="4" w:space="0"/>
            </w:tcBorders>
            <w:shd w:val="clear" w:color="auto" w:fill="auto"/>
            <w:vAlign w:val="center"/>
          </w:tcPr>
          <w:p w14:paraId="41FE1713">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5.加强耕地土壤污染源头防控，持续推进农用地污染源头防治行动。</w:t>
            </w:r>
          </w:p>
        </w:tc>
        <w:tc>
          <w:tcPr>
            <w:tcW w:w="806" w:type="pct"/>
            <w:tcBorders>
              <w:top w:val="single" w:color="000000" w:sz="8" w:space="0"/>
              <w:left w:val="single" w:color="000000" w:sz="4" w:space="0"/>
              <w:bottom w:val="single" w:color="000000" w:sz="4" w:space="0"/>
              <w:right w:val="single" w:color="000000" w:sz="4" w:space="0"/>
            </w:tcBorders>
            <w:shd w:val="clear" w:color="auto" w:fill="auto"/>
            <w:vAlign w:val="center"/>
          </w:tcPr>
          <w:p w14:paraId="4BC7FA1C">
            <w:pPr>
              <w:kinsoku/>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市生态环境局</w:t>
            </w:r>
          </w:p>
        </w:tc>
        <w:tc>
          <w:tcPr>
            <w:tcW w:w="774" w:type="pct"/>
            <w:tcBorders>
              <w:top w:val="single" w:color="000000" w:sz="8" w:space="0"/>
              <w:left w:val="single" w:color="000000" w:sz="4" w:space="0"/>
              <w:bottom w:val="single" w:color="000000" w:sz="4" w:space="0"/>
              <w:right w:val="single" w:color="000000" w:sz="8" w:space="0"/>
            </w:tcBorders>
            <w:shd w:val="clear" w:color="auto" w:fill="auto"/>
            <w:vAlign w:val="center"/>
          </w:tcPr>
          <w:p w14:paraId="51D2E594">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县（市、区）党委、人民政府</w:t>
            </w:r>
          </w:p>
        </w:tc>
      </w:tr>
      <w:tr w14:paraId="3FBADA17">
        <w:tblPrEx>
          <w:tblCellMar>
            <w:top w:w="0" w:type="dxa"/>
            <w:left w:w="108" w:type="dxa"/>
            <w:bottom w:w="0" w:type="dxa"/>
            <w:right w:w="108" w:type="dxa"/>
          </w:tblCellMar>
        </w:tblPrEx>
        <w:trPr>
          <w:trHeight w:val="2051" w:hRule="atLeast"/>
        </w:trPr>
        <w:tc>
          <w:tcPr>
            <w:tcW w:w="279"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7751DB2F">
            <w:pPr>
              <w:kinsoku/>
              <w:jc w:val="center"/>
              <w:rPr>
                <w:rFonts w:hint="eastAsia" w:ascii="方正仿宋_GB2312" w:hAnsi="方正仿宋_GB2312" w:eastAsia="方正仿宋_GB2312" w:cs="方正仿宋_GB2312"/>
                <w:sz w:val="24"/>
                <w:szCs w:val="24"/>
                <w:lang w:eastAsia="zh-CN"/>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28E24">
            <w:pPr>
              <w:kinsoku/>
              <w:rPr>
                <w:rFonts w:hint="eastAsia" w:ascii="方正仿宋_GB2312" w:hAnsi="方正仿宋_GB2312" w:eastAsia="方正仿宋_GB2312" w:cs="方正仿宋_GB2312"/>
                <w:sz w:val="24"/>
                <w:szCs w:val="24"/>
                <w:lang w:eastAsia="zh-CN"/>
              </w:rPr>
            </w:pP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3BC7D">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6.以第三次全国国土调查成果为基础，依据国土空间规划划定成果，规范林地保护管理工作。自然资源主管部门、林业部门要按照职责分工，统筹优化空间布局。</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2F734">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市林业局、市自然资源规划局</w:t>
            </w:r>
          </w:p>
        </w:tc>
        <w:tc>
          <w:tcPr>
            <w:tcW w:w="774" w:type="pct"/>
            <w:tcBorders>
              <w:top w:val="single" w:color="000000" w:sz="4" w:space="0"/>
              <w:left w:val="single" w:color="000000" w:sz="4" w:space="0"/>
              <w:bottom w:val="single" w:color="000000" w:sz="4" w:space="0"/>
              <w:right w:val="single" w:color="000000" w:sz="8" w:space="0"/>
            </w:tcBorders>
            <w:shd w:val="clear" w:color="auto" w:fill="auto"/>
            <w:vAlign w:val="center"/>
          </w:tcPr>
          <w:p w14:paraId="36D26008">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县（市、区）党委、人民政府</w:t>
            </w:r>
          </w:p>
        </w:tc>
      </w:tr>
      <w:tr w14:paraId="2FC4BA33">
        <w:tblPrEx>
          <w:tblCellMar>
            <w:top w:w="0" w:type="dxa"/>
            <w:left w:w="108" w:type="dxa"/>
            <w:bottom w:w="0" w:type="dxa"/>
            <w:right w:w="108" w:type="dxa"/>
          </w:tblCellMar>
        </w:tblPrEx>
        <w:trPr>
          <w:trHeight w:val="531" w:hRule="atLeast"/>
        </w:trPr>
        <w:tc>
          <w:tcPr>
            <w:tcW w:w="279"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7E4D6D42">
            <w:pPr>
              <w:kinsoku/>
              <w:jc w:val="center"/>
              <w:rPr>
                <w:rFonts w:hint="eastAsia" w:ascii="方正仿宋_GB2312" w:hAnsi="方正仿宋_GB2312" w:eastAsia="方正仿宋_GB2312" w:cs="方正仿宋_GB2312"/>
                <w:sz w:val="24"/>
                <w:szCs w:val="24"/>
                <w:lang w:eastAsia="zh-CN"/>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5730F">
            <w:pPr>
              <w:kinsoku/>
              <w:rPr>
                <w:rFonts w:hint="eastAsia" w:ascii="方正仿宋_GB2312" w:hAnsi="方正仿宋_GB2312" w:eastAsia="方正仿宋_GB2312" w:cs="方正仿宋_GB2312"/>
                <w:sz w:val="24"/>
                <w:szCs w:val="24"/>
                <w:lang w:eastAsia="zh-CN"/>
              </w:rPr>
            </w:pPr>
          </w:p>
        </w:tc>
        <w:tc>
          <w:tcPr>
            <w:tcW w:w="2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C10D7">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7.按照“尽力而为、量力而行”原则，强化耕地保护经费保障。</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EF4D3">
            <w:pPr>
              <w:kinsoku/>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市财政局</w:t>
            </w:r>
          </w:p>
        </w:tc>
        <w:tc>
          <w:tcPr>
            <w:tcW w:w="774" w:type="pct"/>
            <w:tcBorders>
              <w:top w:val="single" w:color="000000" w:sz="4" w:space="0"/>
              <w:left w:val="single" w:color="000000" w:sz="4" w:space="0"/>
              <w:bottom w:val="single" w:color="000000" w:sz="4" w:space="0"/>
              <w:right w:val="single" w:color="000000" w:sz="8" w:space="0"/>
            </w:tcBorders>
            <w:shd w:val="clear" w:color="auto" w:fill="auto"/>
            <w:vAlign w:val="center"/>
          </w:tcPr>
          <w:p w14:paraId="20A33213">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县（市、区）党委、人民政府</w:t>
            </w:r>
          </w:p>
        </w:tc>
      </w:tr>
      <w:tr w14:paraId="3D799BAE">
        <w:tblPrEx>
          <w:tblCellMar>
            <w:top w:w="0" w:type="dxa"/>
            <w:left w:w="108" w:type="dxa"/>
            <w:bottom w:w="0" w:type="dxa"/>
            <w:right w:w="108" w:type="dxa"/>
          </w:tblCellMar>
        </w:tblPrEx>
        <w:trPr>
          <w:trHeight w:val="3744" w:hRule="atLeast"/>
        </w:trPr>
        <w:tc>
          <w:tcPr>
            <w:tcW w:w="279" w:type="pct"/>
            <w:vMerge w:val="continue"/>
            <w:tcBorders>
              <w:top w:val="single" w:color="000000" w:sz="4" w:space="0"/>
              <w:left w:val="single" w:color="000000" w:sz="8" w:space="0"/>
              <w:bottom w:val="single" w:color="000000" w:sz="8" w:space="0"/>
              <w:right w:val="single" w:color="000000" w:sz="4" w:space="0"/>
            </w:tcBorders>
            <w:shd w:val="clear" w:color="auto" w:fill="auto"/>
            <w:vAlign w:val="center"/>
          </w:tcPr>
          <w:p w14:paraId="29281251">
            <w:pPr>
              <w:kinsoku/>
              <w:jc w:val="center"/>
              <w:rPr>
                <w:rFonts w:hint="eastAsia" w:ascii="方正仿宋_GB2312" w:hAnsi="方正仿宋_GB2312" w:eastAsia="方正仿宋_GB2312" w:cs="方正仿宋_GB2312"/>
                <w:sz w:val="24"/>
                <w:szCs w:val="24"/>
                <w:lang w:eastAsia="zh-CN"/>
              </w:rPr>
            </w:pPr>
          </w:p>
        </w:tc>
        <w:tc>
          <w:tcPr>
            <w:tcW w:w="422" w:type="pct"/>
            <w:vMerge w:val="continue"/>
            <w:tcBorders>
              <w:top w:val="single" w:color="000000" w:sz="4" w:space="0"/>
              <w:left w:val="single" w:color="000000" w:sz="4" w:space="0"/>
              <w:bottom w:val="single" w:color="000000" w:sz="8" w:space="0"/>
              <w:right w:val="single" w:color="000000" w:sz="4" w:space="0"/>
            </w:tcBorders>
            <w:shd w:val="clear" w:color="auto" w:fill="auto"/>
            <w:vAlign w:val="center"/>
          </w:tcPr>
          <w:p w14:paraId="01537476">
            <w:pPr>
              <w:kinsoku/>
              <w:rPr>
                <w:rFonts w:hint="eastAsia" w:ascii="方正仿宋_GB2312" w:hAnsi="方正仿宋_GB2312" w:eastAsia="方正仿宋_GB2312" w:cs="方正仿宋_GB2312"/>
                <w:sz w:val="24"/>
                <w:szCs w:val="24"/>
                <w:lang w:eastAsia="zh-CN"/>
              </w:rPr>
            </w:pPr>
          </w:p>
        </w:tc>
        <w:tc>
          <w:tcPr>
            <w:tcW w:w="2718" w:type="pct"/>
            <w:tcBorders>
              <w:top w:val="single" w:color="000000" w:sz="4" w:space="0"/>
              <w:left w:val="single" w:color="000000" w:sz="4" w:space="0"/>
              <w:bottom w:val="single" w:color="000000" w:sz="8" w:space="0"/>
              <w:right w:val="single" w:color="000000" w:sz="4" w:space="0"/>
            </w:tcBorders>
            <w:shd w:val="clear" w:color="auto" w:fill="auto"/>
            <w:vAlign w:val="center"/>
          </w:tcPr>
          <w:p w14:paraId="79A78DD5">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8.项目审批(核准、备案)和建设中，要强化耕地保护意识，督促、指导行业单位依法依规、节约集约使用土地。任何单位和个人对于未取得先行用地或未办理完成农用地转用和土地征收审批手续的项目，均不得办理开工手续，建设单位不得开工建设。</w:t>
            </w:r>
          </w:p>
        </w:tc>
        <w:tc>
          <w:tcPr>
            <w:tcW w:w="806" w:type="pct"/>
            <w:tcBorders>
              <w:top w:val="single" w:color="000000" w:sz="4" w:space="0"/>
              <w:left w:val="single" w:color="000000" w:sz="4" w:space="0"/>
              <w:bottom w:val="single" w:color="000000" w:sz="8" w:space="0"/>
              <w:right w:val="single" w:color="000000" w:sz="4" w:space="0"/>
            </w:tcBorders>
            <w:shd w:val="clear" w:color="auto" w:fill="auto"/>
            <w:vAlign w:val="center"/>
          </w:tcPr>
          <w:p w14:paraId="2BF922B6">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市发改委、市自然资源规划局、市交通局、市工信局、市生态环境局、市水利局、市文旅局等</w:t>
            </w:r>
          </w:p>
        </w:tc>
        <w:tc>
          <w:tcPr>
            <w:tcW w:w="774" w:type="pct"/>
            <w:tcBorders>
              <w:top w:val="single" w:color="000000" w:sz="4" w:space="0"/>
              <w:left w:val="single" w:color="000000" w:sz="4" w:space="0"/>
              <w:bottom w:val="single" w:color="000000" w:sz="8" w:space="0"/>
              <w:right w:val="single" w:color="000000" w:sz="8" w:space="0"/>
            </w:tcBorders>
            <w:shd w:val="clear" w:color="auto" w:fill="auto"/>
            <w:vAlign w:val="center"/>
          </w:tcPr>
          <w:p w14:paraId="0FB56893">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县（市、区）党委、人民政府</w:t>
            </w:r>
          </w:p>
        </w:tc>
      </w:tr>
    </w:tbl>
    <w:p w14:paraId="7D56389A">
      <w:pPr>
        <w:kinsoku/>
        <w:rPr>
          <w:lang w:eastAsia="zh-CN"/>
        </w:rPr>
      </w:pPr>
      <w:r>
        <w:rPr>
          <w:lang w:eastAsia="zh-CN"/>
        </w:rPr>
        <w:br w:type="page"/>
      </w:r>
    </w:p>
    <w:tbl>
      <w:tblPr>
        <w:tblStyle w:val="9"/>
        <w:tblW w:w="4960" w:type="pct"/>
        <w:tblInd w:w="0" w:type="dxa"/>
        <w:tblLayout w:type="autofit"/>
        <w:tblCellMar>
          <w:top w:w="0" w:type="dxa"/>
          <w:left w:w="108" w:type="dxa"/>
          <w:bottom w:w="0" w:type="dxa"/>
          <w:right w:w="108" w:type="dxa"/>
        </w:tblCellMar>
      </w:tblPr>
      <w:tblGrid>
        <w:gridCol w:w="773"/>
        <w:gridCol w:w="1226"/>
        <w:gridCol w:w="7742"/>
        <w:gridCol w:w="8"/>
        <w:gridCol w:w="2123"/>
        <w:gridCol w:w="9"/>
        <w:gridCol w:w="2180"/>
      </w:tblGrid>
      <w:tr w14:paraId="6E5C3E9C">
        <w:tblPrEx>
          <w:tblCellMar>
            <w:top w:w="0" w:type="dxa"/>
            <w:left w:w="108" w:type="dxa"/>
            <w:bottom w:w="0" w:type="dxa"/>
            <w:right w:w="108" w:type="dxa"/>
          </w:tblCellMar>
        </w:tblPrEx>
        <w:trPr>
          <w:trHeight w:val="510" w:hRule="atLeast"/>
        </w:trPr>
        <w:tc>
          <w:tcPr>
            <w:tcW w:w="2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FC65657">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序号</w:t>
            </w:r>
          </w:p>
        </w:tc>
        <w:tc>
          <w:tcPr>
            <w:tcW w:w="43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6EB451D">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主要任务</w:t>
            </w:r>
          </w:p>
        </w:tc>
        <w:tc>
          <w:tcPr>
            <w:tcW w:w="275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AC7269A">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工作举措</w:t>
            </w:r>
          </w:p>
        </w:tc>
        <w:tc>
          <w:tcPr>
            <w:tcW w:w="758"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3520BD35">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责任单位</w:t>
            </w:r>
          </w:p>
        </w:tc>
        <w:tc>
          <w:tcPr>
            <w:tcW w:w="779"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44077D3C">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配合单位</w:t>
            </w:r>
          </w:p>
        </w:tc>
      </w:tr>
      <w:tr w14:paraId="5F2B78E1">
        <w:tblPrEx>
          <w:tblCellMar>
            <w:top w:w="0" w:type="dxa"/>
            <w:left w:w="108" w:type="dxa"/>
            <w:bottom w:w="0" w:type="dxa"/>
            <w:right w:w="108" w:type="dxa"/>
          </w:tblCellMar>
        </w:tblPrEx>
        <w:trPr>
          <w:trHeight w:val="531" w:hRule="atLeast"/>
        </w:trPr>
        <w:tc>
          <w:tcPr>
            <w:tcW w:w="5000" w:type="pct"/>
            <w:gridSpan w:val="7"/>
            <w:tcBorders>
              <w:top w:val="single" w:color="000000" w:sz="8" w:space="0"/>
              <w:left w:val="single" w:color="000000" w:sz="8" w:space="0"/>
              <w:bottom w:val="single" w:color="000000" w:sz="8" w:space="0"/>
              <w:right w:val="single" w:color="000000" w:sz="8" w:space="0"/>
            </w:tcBorders>
            <w:shd w:val="clear" w:color="auto" w:fill="auto"/>
            <w:noWrap/>
            <w:vAlign w:val="center"/>
          </w:tcPr>
          <w:p w14:paraId="63DAE260">
            <w:pPr>
              <w:kinsoku/>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b/>
                <w:bCs/>
                <w:sz w:val="24"/>
                <w:szCs w:val="24"/>
                <w:lang w:eastAsia="zh-CN" w:bidi="ar"/>
              </w:rPr>
              <w:t>二、保护利用</w:t>
            </w:r>
          </w:p>
        </w:tc>
      </w:tr>
      <w:tr w14:paraId="4B8F567F">
        <w:tblPrEx>
          <w:tblCellMar>
            <w:top w:w="0" w:type="dxa"/>
            <w:left w:w="108" w:type="dxa"/>
            <w:bottom w:w="0" w:type="dxa"/>
            <w:right w:w="108" w:type="dxa"/>
          </w:tblCellMar>
        </w:tblPrEx>
        <w:trPr>
          <w:trHeight w:val="2305" w:hRule="atLeast"/>
        </w:trPr>
        <w:tc>
          <w:tcPr>
            <w:tcW w:w="2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1C9412F">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3</w:t>
            </w:r>
          </w:p>
        </w:tc>
        <w:tc>
          <w:tcPr>
            <w:tcW w:w="43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0D65BB3">
            <w:pPr>
              <w:kinsoku/>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加强耕地专项规划</w:t>
            </w:r>
          </w:p>
        </w:tc>
        <w:tc>
          <w:tcPr>
            <w:tcW w:w="275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A88C1A2">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9.市、县国土空间规划要突出严格耕地保护导向，在编制详细规划、专项规划时，要从严控制非农建设占用耕地。市、县两级政府组织编制耕地保护专项规划，对耕地保护目标和永久基本农田、耕地储备资源、恢复属性地类进行分类管控。统筹好耕地、林地、园地等农用地空间关系，统筹好耕地与生态保护红线、建设用地等的空间关系，统筹好耕地用途与各类农业生产活动的关系，统筹好耕地恢复与土地整治的关系，统筹好集中连片优质耕地保护与城镇开发建设的关系。</w:t>
            </w:r>
          </w:p>
        </w:tc>
        <w:tc>
          <w:tcPr>
            <w:tcW w:w="758"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6B795B5C">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县（市、区）人民政府，市自然资源规划局、市农业农村局</w:t>
            </w:r>
          </w:p>
        </w:tc>
        <w:tc>
          <w:tcPr>
            <w:tcW w:w="779"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29B2CDD6">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市发改委、市财政局、市林业局、市生态环境局、市水利局</w:t>
            </w:r>
          </w:p>
        </w:tc>
      </w:tr>
      <w:tr w14:paraId="28B8CDE9">
        <w:tblPrEx>
          <w:tblCellMar>
            <w:top w:w="0" w:type="dxa"/>
            <w:left w:w="108" w:type="dxa"/>
            <w:bottom w:w="0" w:type="dxa"/>
            <w:right w:w="108" w:type="dxa"/>
          </w:tblCellMar>
        </w:tblPrEx>
        <w:trPr>
          <w:trHeight w:val="4441" w:hRule="atLeast"/>
        </w:trPr>
        <w:tc>
          <w:tcPr>
            <w:tcW w:w="274" w:type="pct"/>
            <w:tcBorders>
              <w:top w:val="single" w:color="000000" w:sz="8" w:space="0"/>
              <w:left w:val="single" w:color="000000" w:sz="8" w:space="0"/>
              <w:bottom w:val="single" w:color="000000" w:sz="8" w:space="0"/>
              <w:right w:val="single" w:color="000000" w:sz="4" w:space="0"/>
            </w:tcBorders>
            <w:shd w:val="clear" w:color="auto" w:fill="auto"/>
            <w:vAlign w:val="center"/>
          </w:tcPr>
          <w:p w14:paraId="54F6121D">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4</w:t>
            </w:r>
          </w:p>
        </w:tc>
        <w:tc>
          <w:tcPr>
            <w:tcW w:w="436" w:type="pct"/>
            <w:tcBorders>
              <w:top w:val="single" w:color="000000" w:sz="8" w:space="0"/>
              <w:left w:val="single" w:color="000000" w:sz="4" w:space="0"/>
              <w:bottom w:val="single" w:color="000000" w:sz="8" w:space="0"/>
              <w:right w:val="single" w:color="000000" w:sz="4" w:space="0"/>
            </w:tcBorders>
            <w:shd w:val="clear" w:color="auto" w:fill="auto"/>
            <w:vAlign w:val="center"/>
          </w:tcPr>
          <w:p w14:paraId="7F21C36A">
            <w:pPr>
              <w:kinsoku/>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从严管控占用耕地</w:t>
            </w:r>
          </w:p>
        </w:tc>
        <w:tc>
          <w:tcPr>
            <w:tcW w:w="2753" w:type="pct"/>
            <w:tcBorders>
              <w:top w:val="single" w:color="000000" w:sz="8" w:space="0"/>
              <w:left w:val="single" w:color="000000" w:sz="4" w:space="0"/>
              <w:bottom w:val="single" w:color="000000" w:sz="8" w:space="0"/>
              <w:right w:val="single" w:color="000000" w:sz="4" w:space="0"/>
            </w:tcBorders>
            <w:shd w:val="clear" w:color="auto" w:fill="auto"/>
            <w:vAlign w:val="center"/>
          </w:tcPr>
          <w:p w14:paraId="4D52B464">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10.依据国土空间规划管控规则，严控新增建设占用耕地，合理安排占用耕地建设项目规模、布局、时序。强化前期介入，引导建设项目统筹规划、科学选址、节约集约用地，尽量不占或少占耕地，对国土空间规划确定的城市和村庄、集镇建设用地规模范围外涉及占用耕地的建设项目，各级自然资源主管部门要积极配合和参与项目选址选线及可行性研究论证，对占用耕地和永久基本农田的必要性、科学性进行充分论证，做好方案比选，合理确定耕地占用规模。严控临时用地占用耕地，应坚持“用多少、批多少、占多少、恢复多少”的原则，尽量不占或少占耕地，使用后复垦难度大、难以恢复原种植的条件不得以临时用地占用，临时用地确需占用永久基本农田的，必须能够恢复原种植条件，临时用地期满后应当拆除临时建（构）筑物，使用耕地的应当复垦为耕地，确保耕地面积不减少、质量不降低。农村村民住宅要严格按照“一户一宅”原则，不占或少占耕地，不得占用永久基本农田。</w:t>
            </w:r>
          </w:p>
        </w:tc>
        <w:tc>
          <w:tcPr>
            <w:tcW w:w="758" w:type="pct"/>
            <w:gridSpan w:val="2"/>
            <w:tcBorders>
              <w:top w:val="single" w:color="000000" w:sz="8" w:space="0"/>
              <w:left w:val="single" w:color="000000" w:sz="4" w:space="0"/>
              <w:bottom w:val="single" w:color="000000" w:sz="8" w:space="0"/>
              <w:right w:val="single" w:color="000000" w:sz="4" w:space="0"/>
            </w:tcBorders>
            <w:shd w:val="clear" w:color="auto" w:fill="auto"/>
            <w:vAlign w:val="center"/>
          </w:tcPr>
          <w:p w14:paraId="78DF35F8">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县（市、区）人民政府，市自然资源规划局、市农业农村局</w:t>
            </w:r>
          </w:p>
        </w:tc>
        <w:tc>
          <w:tcPr>
            <w:tcW w:w="779" w:type="pct"/>
            <w:gridSpan w:val="2"/>
            <w:tcBorders>
              <w:top w:val="single" w:color="000000" w:sz="8" w:space="0"/>
              <w:left w:val="single" w:color="000000" w:sz="4" w:space="0"/>
              <w:bottom w:val="single" w:color="000000" w:sz="8" w:space="0"/>
              <w:right w:val="single" w:color="000000" w:sz="8" w:space="0"/>
            </w:tcBorders>
            <w:shd w:val="clear" w:color="auto" w:fill="auto"/>
            <w:vAlign w:val="center"/>
          </w:tcPr>
          <w:p w14:paraId="26265C89">
            <w:pPr>
              <w:kinsoku/>
              <w:jc w:val="both"/>
              <w:textAlignment w:val="center"/>
              <w:rPr>
                <w:rFonts w:hint="eastAsia" w:ascii="方正仿宋_GB2312" w:hAnsi="方正仿宋_GB2312" w:eastAsia="方正仿宋_GB2312" w:cs="方正仿宋_GB2312"/>
                <w:color w:val="auto"/>
                <w:sz w:val="24"/>
                <w:szCs w:val="24"/>
                <w:lang w:eastAsia="zh-CN"/>
              </w:rPr>
            </w:pPr>
            <w:r>
              <w:fldChar w:fldCharType="begin"/>
            </w:r>
            <w:r>
              <w:instrText xml:space="preserve"> HYPERLINK "https://www.baidu.com/link?url=Rd9XBiv6-wME5-r025-YVHEevCDjtrN8LakvHsSt6byH9yNW-2v9AHP7l_U1wFyutjV52B9ZfhwY2HMdWohkEK&amp;wd=&amp;eqid=8c9287b30010f1fc0000000665851079" \o "https://www.baidu.com/link?url=Rd9XBiv6-wME5-r025-YVHEevCDjtrN8LakvHsSt6byH9yNW-2v9AHP7l_U1wFyutjV52B9ZfhwY2HMdWohkEK&amp;wd=&amp;eqid=8c9287b30010f1fc0000000665851079" </w:instrText>
            </w:r>
            <w:r>
              <w:fldChar w:fldCharType="separate"/>
            </w:r>
            <w:r>
              <w:rPr>
                <w:rStyle w:val="11"/>
                <w:rFonts w:ascii="方正仿宋_GB2312" w:hAnsi="方正仿宋_GB2312" w:eastAsia="方正仿宋_GB2312" w:cs="方正仿宋_GB2312"/>
                <w:color w:val="auto"/>
                <w:sz w:val="24"/>
                <w:szCs w:val="24"/>
                <w:u w:val="none"/>
                <w:lang w:eastAsia="zh-CN"/>
              </w:rPr>
              <w:t>市发改委、市林业局、市生态环境局、市水利局、市交通局、市工信局、市文旅局、市公路事业发展中心等</w:t>
            </w:r>
            <w:r>
              <w:rPr>
                <w:rStyle w:val="11"/>
                <w:rFonts w:ascii="方正仿宋_GB2312" w:hAnsi="方正仿宋_GB2312" w:eastAsia="方正仿宋_GB2312" w:cs="方正仿宋_GB2312"/>
                <w:color w:val="auto"/>
                <w:sz w:val="24"/>
                <w:szCs w:val="24"/>
                <w:u w:val="none"/>
                <w:lang w:eastAsia="zh-CN"/>
              </w:rPr>
              <w:fldChar w:fldCharType="end"/>
            </w:r>
          </w:p>
        </w:tc>
      </w:tr>
      <w:tr w14:paraId="5B4CDD3F">
        <w:tblPrEx>
          <w:tblCellMar>
            <w:top w:w="0" w:type="dxa"/>
            <w:left w:w="108" w:type="dxa"/>
            <w:bottom w:w="0" w:type="dxa"/>
            <w:right w:w="108" w:type="dxa"/>
          </w:tblCellMar>
        </w:tblPrEx>
        <w:trPr>
          <w:trHeight w:val="510" w:hRule="atLeast"/>
        </w:trPr>
        <w:tc>
          <w:tcPr>
            <w:tcW w:w="27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C02AD3">
            <w:pPr>
              <w:kinsoku/>
              <w:jc w:val="center"/>
              <w:textAlignment w:val="center"/>
              <w:rPr>
                <w:rFonts w:hint="eastAsia" w:ascii="黑体" w:hAnsi="黑体" w:eastAsia="黑体" w:cs="黑体"/>
                <w:sz w:val="24"/>
                <w:szCs w:val="24"/>
                <w:lang w:eastAsia="zh-CN" w:bidi="ar"/>
              </w:rPr>
            </w:pPr>
            <w:r>
              <w:rPr>
                <w:lang w:eastAsia="zh-CN"/>
              </w:rPr>
              <w:br w:type="page"/>
            </w:r>
            <w:r>
              <w:rPr>
                <w:rFonts w:ascii="黑体" w:hAnsi="黑体" w:eastAsia="黑体" w:cs="黑体"/>
                <w:sz w:val="24"/>
                <w:szCs w:val="24"/>
                <w:lang w:eastAsia="zh-CN" w:bidi="ar"/>
              </w:rPr>
              <w:t>序号</w:t>
            </w:r>
          </w:p>
        </w:tc>
        <w:tc>
          <w:tcPr>
            <w:tcW w:w="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B37CFEB">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主要任务</w:t>
            </w:r>
          </w:p>
        </w:tc>
        <w:tc>
          <w:tcPr>
            <w:tcW w:w="2756"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57306075">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工作举措</w:t>
            </w:r>
          </w:p>
        </w:tc>
        <w:tc>
          <w:tcPr>
            <w:tcW w:w="758"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75F14C88">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责任单位</w:t>
            </w:r>
          </w:p>
        </w:tc>
        <w:tc>
          <w:tcPr>
            <w:tcW w:w="77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511EA0D">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配合单位</w:t>
            </w:r>
          </w:p>
        </w:tc>
      </w:tr>
      <w:tr w14:paraId="4ADB5295">
        <w:tblPrEx>
          <w:tblCellMar>
            <w:top w:w="0" w:type="dxa"/>
            <w:left w:w="108" w:type="dxa"/>
            <w:bottom w:w="0" w:type="dxa"/>
            <w:right w:w="108" w:type="dxa"/>
          </w:tblCellMar>
        </w:tblPrEx>
        <w:trPr>
          <w:trHeight w:val="3444" w:hRule="atLeast"/>
        </w:trPr>
        <w:tc>
          <w:tcPr>
            <w:tcW w:w="27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ED0A2A3">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5</w:t>
            </w:r>
          </w:p>
        </w:tc>
        <w:tc>
          <w:tcPr>
            <w:tcW w:w="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4FC1E82">
            <w:pPr>
              <w:kinsoku/>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提升土地利用效率</w:t>
            </w:r>
          </w:p>
        </w:tc>
        <w:tc>
          <w:tcPr>
            <w:tcW w:w="2756"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272B2C28">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11.贯彻落实高质量发展全面节约战略，深入推进“节地增效”工作，强化考核，提升土地利用效率。坚持依法行政，严格项目管理，充分发挥用地计划导向作用，坚持节约集约用地的原则，统筹存量建设用地安排和新增建设用地使用计划，优先使用存量建设用地，科学合理安排用地计划。深化增存挂钩机制，完善存量土地消化与新增建设用地报批挂钩政策，对存量土地多、处置不力的予以限制报批，促进批而未供、供而未用、闲置土地处置。</w:t>
            </w:r>
          </w:p>
        </w:tc>
        <w:tc>
          <w:tcPr>
            <w:tcW w:w="758"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3E49C695">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县（市、区）人民政府，市自然资源规划局</w:t>
            </w:r>
          </w:p>
        </w:tc>
        <w:tc>
          <w:tcPr>
            <w:tcW w:w="77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5429FB">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市发改委、市农业农村局、市林业局、市水利局</w:t>
            </w:r>
          </w:p>
        </w:tc>
      </w:tr>
      <w:tr w14:paraId="38EB515F">
        <w:tblPrEx>
          <w:tblCellMar>
            <w:top w:w="0" w:type="dxa"/>
            <w:left w:w="108" w:type="dxa"/>
            <w:bottom w:w="0" w:type="dxa"/>
            <w:right w:w="108" w:type="dxa"/>
          </w:tblCellMar>
        </w:tblPrEx>
        <w:trPr>
          <w:trHeight w:val="3650" w:hRule="atLeast"/>
        </w:trPr>
        <w:tc>
          <w:tcPr>
            <w:tcW w:w="27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FBF425">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6</w:t>
            </w:r>
          </w:p>
        </w:tc>
        <w:tc>
          <w:tcPr>
            <w:tcW w:w="43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ED21D5D">
            <w:pPr>
              <w:kinsoku/>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建立耕地储备机制</w:t>
            </w:r>
          </w:p>
        </w:tc>
        <w:tc>
          <w:tcPr>
            <w:tcW w:w="2756"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2DBD3E2C">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12.县（市、区）人民政府会同市自然资源规划局、农业农村、水利、林业等部门，以第三次全国国土调查及年度国土变更调查成果为基础，突出耕地保护优先，充分挖掘和保护各类耕地储备资源，划定补充耕地储备区、永久基本农田储备区和用于造林种树、种果种茶后备资源，结合各部门专题成果，更新储备资源数据库，纳入国土空间基础信息平台和国土空间规划“一张图”进行管理。自然资源主管部门应会同有关部门科学制定储备耕地开发与利用计划，有序推进储备耕地开发利用。</w:t>
            </w:r>
          </w:p>
        </w:tc>
        <w:tc>
          <w:tcPr>
            <w:tcW w:w="758"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5006D91A">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县（市、区）人民政府</w:t>
            </w:r>
          </w:p>
        </w:tc>
        <w:tc>
          <w:tcPr>
            <w:tcW w:w="77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1C3A059">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市发改委、市自然资源规划局、市林业局、市农业农村局、市生态环境局、市水利局</w:t>
            </w:r>
          </w:p>
        </w:tc>
      </w:tr>
    </w:tbl>
    <w:p w14:paraId="369D7797">
      <w:pPr>
        <w:kinsoku/>
        <w:rPr>
          <w:lang w:eastAsia="zh-CN"/>
        </w:rPr>
      </w:pPr>
      <w:r>
        <w:rPr>
          <w:lang w:eastAsia="zh-CN"/>
        </w:rPr>
        <w:br w:type="page"/>
      </w:r>
    </w:p>
    <w:tbl>
      <w:tblPr>
        <w:tblStyle w:val="9"/>
        <w:tblW w:w="4960" w:type="pct"/>
        <w:tblInd w:w="0" w:type="dxa"/>
        <w:tblLayout w:type="autofit"/>
        <w:tblCellMar>
          <w:top w:w="0" w:type="dxa"/>
          <w:left w:w="108" w:type="dxa"/>
          <w:bottom w:w="0" w:type="dxa"/>
          <w:right w:w="108" w:type="dxa"/>
        </w:tblCellMar>
      </w:tblPr>
      <w:tblGrid>
        <w:gridCol w:w="770"/>
        <w:gridCol w:w="1215"/>
        <w:gridCol w:w="7751"/>
        <w:gridCol w:w="2133"/>
        <w:gridCol w:w="2192"/>
      </w:tblGrid>
      <w:tr w14:paraId="75FBE386">
        <w:tblPrEx>
          <w:tblCellMar>
            <w:top w:w="0" w:type="dxa"/>
            <w:left w:w="108" w:type="dxa"/>
            <w:bottom w:w="0" w:type="dxa"/>
            <w:right w:w="108" w:type="dxa"/>
          </w:tblCellMar>
        </w:tblPrEx>
        <w:trPr>
          <w:trHeight w:val="510" w:hRule="atLeast"/>
        </w:trPr>
        <w:tc>
          <w:tcPr>
            <w:tcW w:w="2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0199AC">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序号</w:t>
            </w:r>
          </w:p>
        </w:tc>
        <w:tc>
          <w:tcPr>
            <w:tcW w:w="4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2712FB5">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主要任务</w:t>
            </w:r>
          </w:p>
        </w:tc>
        <w:tc>
          <w:tcPr>
            <w:tcW w:w="27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B3FEC85">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工作举措</w:t>
            </w:r>
          </w:p>
        </w:tc>
        <w:tc>
          <w:tcPr>
            <w:tcW w:w="75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E61AC3F">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责任单位</w:t>
            </w:r>
          </w:p>
        </w:tc>
        <w:tc>
          <w:tcPr>
            <w:tcW w:w="77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199F2A">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配合单位</w:t>
            </w:r>
          </w:p>
        </w:tc>
      </w:tr>
      <w:tr w14:paraId="11AD10A3">
        <w:tblPrEx>
          <w:tblCellMar>
            <w:top w:w="0" w:type="dxa"/>
            <w:left w:w="108" w:type="dxa"/>
            <w:bottom w:w="0" w:type="dxa"/>
            <w:right w:w="108" w:type="dxa"/>
          </w:tblCellMar>
        </w:tblPrEx>
        <w:trPr>
          <w:trHeight w:val="6881" w:hRule="atLeast"/>
        </w:trPr>
        <w:tc>
          <w:tcPr>
            <w:tcW w:w="27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B5480A4">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7</w:t>
            </w:r>
          </w:p>
        </w:tc>
        <w:tc>
          <w:tcPr>
            <w:tcW w:w="4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3D8023F">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稳妥有序推进耕地恢复</w:t>
            </w:r>
          </w:p>
        </w:tc>
        <w:tc>
          <w:tcPr>
            <w:tcW w:w="27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DB0F98">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13.</w:t>
            </w:r>
            <w:bookmarkStart w:id="0" w:name="_Hlk173921104"/>
            <w:r>
              <w:rPr>
                <w:rFonts w:ascii="方正仿宋_GB2312" w:hAnsi="方正仿宋_GB2312" w:eastAsia="方正仿宋_GB2312" w:cs="方正仿宋_GB2312"/>
                <w:sz w:val="24"/>
                <w:szCs w:val="24"/>
                <w:lang w:eastAsia="zh-CN" w:bidi="ar"/>
              </w:rPr>
              <w:t>根据国家、省政策推进全市9.16万亩缺口恢复，结合自然地理条件、群众意愿、种植作物市场状况，制定恢复计划，科学、稳妥、有序落实。</w:t>
            </w:r>
            <w:bookmarkEnd w:id="0"/>
            <w:r>
              <w:rPr>
                <w:rFonts w:ascii="方正仿宋_GB2312" w:hAnsi="方正仿宋_GB2312" w:eastAsia="方正仿宋_GB2312" w:cs="方正仿宋_GB2312"/>
                <w:sz w:val="24"/>
                <w:szCs w:val="24"/>
                <w:lang w:eastAsia="zh-CN" w:bidi="ar"/>
              </w:rPr>
              <w:t>各县（市、区）要对标耕地缺口，充分考虑规划调整、</w:t>
            </w:r>
            <w:r>
              <w:rPr>
                <w:rFonts w:hint="eastAsia" w:ascii="方正仿宋_GB2312" w:hAnsi="方正仿宋_GB2312" w:eastAsia="方正仿宋_GB2312" w:cs="方正仿宋_GB2312"/>
                <w:sz w:val="24"/>
                <w:szCs w:val="24"/>
                <w:lang w:eastAsia="zh-CN" w:bidi="ar"/>
              </w:rPr>
              <w:t>园区调整、</w:t>
            </w:r>
            <w:r>
              <w:rPr>
                <w:rFonts w:ascii="方正仿宋_GB2312" w:hAnsi="方正仿宋_GB2312" w:eastAsia="方正仿宋_GB2312" w:cs="方正仿宋_GB2312"/>
                <w:sz w:val="24"/>
                <w:szCs w:val="24"/>
                <w:lang w:eastAsia="zh-CN" w:bidi="ar"/>
              </w:rPr>
              <w:t>生态退耕、跨区域补充耕地调整等合理政策因素，统筹考虑“二调”为耕地“三调”后转为其他农用地地类和历史遗留的临时用地、废弃的农村道路、设施农业用地等因素开展耕地恢复。通过大力实施高标准农田建设，稳步推进全域土地综合整治，合理安排矿山生态修复复垦利用，多渠道找回耕地。严禁不顾果树处于盛果期、林木处于生长期、鱼塘处于收获季等客观实际，强行拔苗砍树、填坑平塘，坚决防止“简单化”“一刀切”。</w:t>
            </w:r>
            <w:r>
              <w:rPr>
                <w:rFonts w:hint="eastAsia" w:ascii="方正仿宋_GB2312" w:hAnsi="方正仿宋_GB2312" w:eastAsia="方正仿宋_GB2312" w:cs="方正仿宋_GB2312"/>
                <w:sz w:val="24"/>
                <w:szCs w:val="24"/>
                <w:lang w:eastAsia="zh-CN"/>
              </w:rPr>
              <w:t xml:space="preserve"> </w:t>
            </w:r>
          </w:p>
        </w:tc>
        <w:tc>
          <w:tcPr>
            <w:tcW w:w="75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EF1F27E">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县（市、区）人民政府，市发改委、市自然资源规划局、市农业农村局</w:t>
            </w:r>
          </w:p>
        </w:tc>
        <w:tc>
          <w:tcPr>
            <w:tcW w:w="77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2F08F0E">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市水利局、市林业局、市生态环境局</w:t>
            </w:r>
          </w:p>
        </w:tc>
      </w:tr>
    </w:tbl>
    <w:p w14:paraId="3763FD21">
      <w:pPr>
        <w:kinsoku/>
        <w:rPr>
          <w:lang w:eastAsia="zh-CN"/>
        </w:rPr>
      </w:pPr>
    </w:p>
    <w:p w14:paraId="11F2B282">
      <w:pPr>
        <w:kinsoku/>
        <w:rPr>
          <w:lang w:eastAsia="zh-CN"/>
        </w:rPr>
      </w:pPr>
      <w:r>
        <w:rPr>
          <w:lang w:eastAsia="zh-CN"/>
        </w:rPr>
        <w:br w:type="page"/>
      </w:r>
    </w:p>
    <w:tbl>
      <w:tblPr>
        <w:tblStyle w:val="9"/>
        <w:tblW w:w="4960" w:type="pct"/>
        <w:tblInd w:w="0" w:type="dxa"/>
        <w:tblLayout w:type="autofit"/>
        <w:tblCellMar>
          <w:top w:w="0" w:type="dxa"/>
          <w:left w:w="108" w:type="dxa"/>
          <w:bottom w:w="0" w:type="dxa"/>
          <w:right w:w="108" w:type="dxa"/>
        </w:tblCellMar>
      </w:tblPr>
      <w:tblGrid>
        <w:gridCol w:w="775"/>
        <w:gridCol w:w="1213"/>
        <w:gridCol w:w="7736"/>
        <w:gridCol w:w="2132"/>
        <w:gridCol w:w="2205"/>
      </w:tblGrid>
      <w:tr w14:paraId="1A13AC2A">
        <w:tblPrEx>
          <w:tblCellMar>
            <w:top w:w="0" w:type="dxa"/>
            <w:left w:w="108" w:type="dxa"/>
            <w:bottom w:w="0" w:type="dxa"/>
            <w:right w:w="108" w:type="dxa"/>
          </w:tblCellMar>
        </w:tblPrEx>
        <w:trPr>
          <w:trHeight w:val="510" w:hRule="atLeast"/>
        </w:trPr>
        <w:tc>
          <w:tcPr>
            <w:tcW w:w="7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B6DEB3">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序号</w:t>
            </w:r>
          </w:p>
        </w:tc>
        <w:tc>
          <w:tcPr>
            <w:tcW w:w="12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8A38B7">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主要任务</w:t>
            </w:r>
          </w:p>
        </w:tc>
        <w:tc>
          <w:tcPr>
            <w:tcW w:w="7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AEAD74">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工作举措</w:t>
            </w:r>
          </w:p>
        </w:tc>
        <w:tc>
          <w:tcPr>
            <w:tcW w:w="21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412757">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责任单位</w:t>
            </w:r>
          </w:p>
        </w:tc>
        <w:tc>
          <w:tcPr>
            <w:tcW w:w="22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8EF32C">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配合单位</w:t>
            </w:r>
          </w:p>
        </w:tc>
      </w:tr>
      <w:tr w14:paraId="16B58A06">
        <w:tblPrEx>
          <w:tblCellMar>
            <w:top w:w="0" w:type="dxa"/>
            <w:left w:w="108" w:type="dxa"/>
            <w:bottom w:w="0" w:type="dxa"/>
            <w:right w:w="108" w:type="dxa"/>
          </w:tblCellMar>
        </w:tblPrEx>
        <w:trPr>
          <w:trHeight w:val="556" w:hRule="atLeast"/>
        </w:trPr>
        <w:tc>
          <w:tcPr>
            <w:tcW w:w="14061" w:type="dxa"/>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7FC07E2D">
            <w:pPr>
              <w:kinsoku/>
              <w:jc w:val="both"/>
              <w:textAlignment w:val="center"/>
              <w:rPr>
                <w:rFonts w:hint="eastAsia" w:ascii="方正仿宋_GB2312" w:hAnsi="方正仿宋_GB2312" w:eastAsia="方正仿宋_GB2312" w:cs="方正仿宋_GB2312"/>
                <w:sz w:val="24"/>
                <w:szCs w:val="24"/>
                <w:lang w:eastAsia="zh-CN" w:bidi="ar"/>
              </w:rPr>
            </w:pPr>
            <w:r>
              <w:rPr>
                <w:rFonts w:ascii="方正仿宋_GB2312" w:hAnsi="方正仿宋_GB2312" w:eastAsia="方正仿宋_GB2312" w:cs="方正仿宋_GB2312"/>
                <w:b/>
                <w:bCs/>
                <w:sz w:val="24"/>
                <w:szCs w:val="24"/>
                <w:lang w:eastAsia="zh-CN" w:bidi="ar"/>
              </w:rPr>
              <w:t>三、用途管控</w:t>
            </w:r>
          </w:p>
        </w:tc>
      </w:tr>
      <w:tr w14:paraId="316B554B">
        <w:tblPrEx>
          <w:tblCellMar>
            <w:top w:w="0" w:type="dxa"/>
            <w:left w:w="108" w:type="dxa"/>
            <w:bottom w:w="0" w:type="dxa"/>
            <w:right w:w="108" w:type="dxa"/>
          </w:tblCellMar>
        </w:tblPrEx>
        <w:trPr>
          <w:trHeight w:val="6291" w:hRule="atLeast"/>
        </w:trPr>
        <w:tc>
          <w:tcPr>
            <w:tcW w:w="7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7CBD74">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8</w:t>
            </w:r>
          </w:p>
        </w:tc>
        <w:tc>
          <w:tcPr>
            <w:tcW w:w="12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7CEA99">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落实永久基本农田特殊保护</w:t>
            </w:r>
          </w:p>
        </w:tc>
        <w:tc>
          <w:tcPr>
            <w:tcW w:w="773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40D927">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14.坚决落实上级下达基本农田保护任务，切实做到落地到户、上图入库、网上公布、接受监督。基本农田一经划定，实行严格管理、永久保护，任何单位和个人不得擅自占用和改变用途。各县（市、区）要结合遥感监测和国土变更调查成果，全面掌握区域内永久基本农田状况。严控占用永久基本农田的重大建设项目范围，严禁占用永久基本农田发展林果业和挖塘养鱼，严禁占用永久基本农田种植苗木、草皮等用于绿化装饰以及其他破坏耕作层的植物，严禁占用永久基本农田挖湖造景、建设绿化带，严禁新增占用永久基本农田建设畜禽养殖设施、水产养殖设施和破坏耕作层的种植业设施，严禁任何单位和个人在永久基本农田上建窑、建房、建坟、挖砂、采石、取土、堆放固体废弃物或进行其他破坏永久基本农田的活动。依据“总体稳定、局部微调、应保尽保、量质并重”要求，合理确定永久基本农田布局。实行永久基本农田年度调整评估机制，为重大建设项目占用、生态建设等国家、省级明确的补划调整等情形提供保障。各类非农业建设不得“未批先建”，能源、交通、水利、军事设施等重点建设项目选址确实难以避让永久基本农田的,经依法批准,应在落实耕地占补平衡基础上,按照数量不减、质量不降原则,在可以长期稳定利用的耕地上落实永久基本农田补划任务。</w:t>
            </w:r>
          </w:p>
        </w:tc>
        <w:tc>
          <w:tcPr>
            <w:tcW w:w="21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D7AAC0">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县（市、区）人民政府，市自然资源规划局、市农业农村局</w:t>
            </w:r>
          </w:p>
        </w:tc>
        <w:tc>
          <w:tcPr>
            <w:tcW w:w="22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BE4BB6">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市发改委、市水利局、市生态环境局、市林业局</w:t>
            </w:r>
          </w:p>
        </w:tc>
      </w:tr>
    </w:tbl>
    <w:p w14:paraId="7DB3DF5B">
      <w:pPr>
        <w:kinsoku/>
        <w:rPr>
          <w:lang w:eastAsia="zh-CN"/>
        </w:rPr>
      </w:pPr>
    </w:p>
    <w:p w14:paraId="788CA057">
      <w:pPr>
        <w:kinsoku/>
        <w:rPr>
          <w:lang w:eastAsia="zh-CN"/>
        </w:rPr>
      </w:pPr>
    </w:p>
    <w:p w14:paraId="45F0143A">
      <w:pPr>
        <w:kinsoku/>
        <w:rPr>
          <w:lang w:eastAsia="zh-CN"/>
        </w:rPr>
      </w:pPr>
      <w:r>
        <w:rPr>
          <w:lang w:eastAsia="zh-CN"/>
        </w:rPr>
        <w:br w:type="page"/>
      </w:r>
    </w:p>
    <w:tbl>
      <w:tblPr>
        <w:tblStyle w:val="9"/>
        <w:tblW w:w="4960" w:type="pct"/>
        <w:tblInd w:w="0" w:type="dxa"/>
        <w:tblLayout w:type="autofit"/>
        <w:tblCellMar>
          <w:top w:w="0" w:type="dxa"/>
          <w:left w:w="108" w:type="dxa"/>
          <w:bottom w:w="0" w:type="dxa"/>
          <w:right w:w="108" w:type="dxa"/>
        </w:tblCellMar>
      </w:tblPr>
      <w:tblGrid>
        <w:gridCol w:w="761"/>
        <w:gridCol w:w="1200"/>
        <w:gridCol w:w="7760"/>
        <w:gridCol w:w="2132"/>
        <w:gridCol w:w="2208"/>
      </w:tblGrid>
      <w:tr w14:paraId="1FD863F6">
        <w:tblPrEx>
          <w:tblCellMar>
            <w:top w:w="0" w:type="dxa"/>
            <w:left w:w="108" w:type="dxa"/>
            <w:bottom w:w="0" w:type="dxa"/>
            <w:right w:w="108" w:type="dxa"/>
          </w:tblCellMar>
        </w:tblPrEx>
        <w:trPr>
          <w:trHeight w:val="510" w:hRule="atLeast"/>
        </w:trPr>
        <w:tc>
          <w:tcPr>
            <w:tcW w:w="76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44E132">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序号</w:t>
            </w:r>
          </w:p>
        </w:tc>
        <w:tc>
          <w:tcPr>
            <w:tcW w:w="12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7FF2C3">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主要任务</w:t>
            </w:r>
          </w:p>
        </w:tc>
        <w:tc>
          <w:tcPr>
            <w:tcW w:w="77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90F423">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工作举措</w:t>
            </w:r>
          </w:p>
        </w:tc>
        <w:tc>
          <w:tcPr>
            <w:tcW w:w="21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F2BFA0">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责任单位</w:t>
            </w:r>
          </w:p>
        </w:tc>
        <w:tc>
          <w:tcPr>
            <w:tcW w:w="220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AE3FF6">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配合单位</w:t>
            </w:r>
          </w:p>
        </w:tc>
      </w:tr>
      <w:tr w14:paraId="08219778">
        <w:tblPrEx>
          <w:tblCellMar>
            <w:top w:w="0" w:type="dxa"/>
            <w:left w:w="108" w:type="dxa"/>
            <w:bottom w:w="0" w:type="dxa"/>
            <w:right w:w="108" w:type="dxa"/>
          </w:tblCellMar>
        </w:tblPrEx>
        <w:trPr>
          <w:trHeight w:val="3627" w:hRule="atLeast"/>
        </w:trPr>
        <w:tc>
          <w:tcPr>
            <w:tcW w:w="76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B7F928F">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9</w:t>
            </w:r>
          </w:p>
        </w:tc>
        <w:tc>
          <w:tcPr>
            <w:tcW w:w="12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2648A5">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严格实施耕地用途管控</w:t>
            </w:r>
          </w:p>
        </w:tc>
        <w:tc>
          <w:tcPr>
            <w:tcW w:w="77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BDD3D4">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15.明确耕地利用优先序，永久基本农田重点用于发展粮食生产，特别是保障谷类种植面积，新增建设畜禽养殖设施、水产养殖设施和破坏耕作层的种植业设施严格控制占用耕地，严禁占用永久基本农田。现状种植棉、油、糖、蔬菜等非粮食作物的,可以维持不变,也可以结合国家和地方种粮补贴有关政策引导向种植粮食作物调整。种植粮食作物的情形包括在耕地上每年至少种植一季粮食作物和符合国土调查的耕地认定标准,采取粮食与非粮食作物间作、轮作、套种的土地利用方式。高标准农田原则上全部用于粮食生产。一般耕地主要用于粮食和棉、油、糖、蔬菜等农产品及饲草饲料生产，在不破坏耕作层且不造成耕地地类改变的前提下，可以适度种植其他农作物。</w:t>
            </w:r>
          </w:p>
        </w:tc>
        <w:tc>
          <w:tcPr>
            <w:tcW w:w="21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746FD0">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县（市、区）人民政府，市农业农村局</w:t>
            </w:r>
          </w:p>
        </w:tc>
        <w:tc>
          <w:tcPr>
            <w:tcW w:w="220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F26BE1">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市发改委、市财政局、市自然资源规划局</w:t>
            </w:r>
          </w:p>
        </w:tc>
      </w:tr>
      <w:tr w14:paraId="27515CC0">
        <w:tblPrEx>
          <w:tblCellMar>
            <w:top w:w="0" w:type="dxa"/>
            <w:left w:w="108" w:type="dxa"/>
            <w:bottom w:w="0" w:type="dxa"/>
            <w:right w:w="108" w:type="dxa"/>
          </w:tblCellMar>
        </w:tblPrEx>
        <w:trPr>
          <w:trHeight w:val="3579" w:hRule="atLeast"/>
        </w:trPr>
        <w:tc>
          <w:tcPr>
            <w:tcW w:w="76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BC8C79">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10</w:t>
            </w:r>
          </w:p>
        </w:tc>
        <w:tc>
          <w:tcPr>
            <w:tcW w:w="12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65A212">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完善农业种植结构调整</w:t>
            </w:r>
          </w:p>
        </w:tc>
        <w:tc>
          <w:tcPr>
            <w:tcW w:w="77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077B82">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16.完善农业种植结构政策制度体系，及时调整不符合耕地种植用途管控要求的农业扶持政策，有序开展农业种植结构调整。积极通过引导种植结构调整、土地综合整治和不实补充耕地整改等方式分期分批组织复耕。积极探索市场化方式推动撂荒土地复垦复种，对因土地流转不畅导致撂荒的耕地，可采取转包（出租）、互换、转让、入股、代耕代种、联耕联种及托管方式引导土地流转，并支持各类新型农业经营主体、农村集体经济组织采取全程托管、主要生产环节托管等方式加强撂荒耕地种植管理。农村集体经济组织要指导、监督承包经营主体履行好耕地保护和耕种义务，探索建立耕地保护责任落实与基层干部绩效评价挂钩的奖惩机制。</w:t>
            </w:r>
          </w:p>
        </w:tc>
        <w:tc>
          <w:tcPr>
            <w:tcW w:w="21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1A0470">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县（市、区）人民政府，市农业农村局</w:t>
            </w:r>
          </w:p>
        </w:tc>
        <w:tc>
          <w:tcPr>
            <w:tcW w:w="220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293133">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市发改委、市财政局、市自然资源规划局</w:t>
            </w:r>
          </w:p>
        </w:tc>
      </w:tr>
    </w:tbl>
    <w:p w14:paraId="776008D0">
      <w:pPr>
        <w:kinsoku/>
        <w:rPr>
          <w:lang w:eastAsia="zh-CN"/>
        </w:rPr>
      </w:pPr>
    </w:p>
    <w:p w14:paraId="3A3F1650">
      <w:pPr>
        <w:kinsoku/>
        <w:rPr>
          <w:lang w:eastAsia="zh-CN"/>
        </w:rPr>
      </w:pPr>
      <w:r>
        <w:rPr>
          <w:lang w:eastAsia="zh-CN"/>
        </w:rPr>
        <w:br w:type="page"/>
      </w:r>
    </w:p>
    <w:tbl>
      <w:tblPr>
        <w:tblStyle w:val="9"/>
        <w:tblW w:w="4960" w:type="pct"/>
        <w:tblInd w:w="0" w:type="dxa"/>
        <w:tblLayout w:type="autofit"/>
        <w:tblCellMar>
          <w:top w:w="0" w:type="dxa"/>
          <w:left w:w="108" w:type="dxa"/>
          <w:bottom w:w="0" w:type="dxa"/>
          <w:right w:w="108" w:type="dxa"/>
        </w:tblCellMar>
      </w:tblPr>
      <w:tblGrid>
        <w:gridCol w:w="753"/>
        <w:gridCol w:w="1215"/>
        <w:gridCol w:w="7736"/>
        <w:gridCol w:w="2118"/>
        <w:gridCol w:w="2239"/>
      </w:tblGrid>
      <w:tr w14:paraId="3206FE8C">
        <w:tblPrEx>
          <w:tblCellMar>
            <w:top w:w="0" w:type="dxa"/>
            <w:left w:w="108" w:type="dxa"/>
            <w:bottom w:w="0" w:type="dxa"/>
            <w:right w:w="108" w:type="dxa"/>
          </w:tblCellMar>
        </w:tblPrEx>
        <w:trPr>
          <w:trHeight w:val="510" w:hRule="atLeast"/>
        </w:trPr>
        <w:tc>
          <w:tcPr>
            <w:tcW w:w="26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147D38E">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序号</w:t>
            </w:r>
          </w:p>
        </w:tc>
        <w:tc>
          <w:tcPr>
            <w:tcW w:w="4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B8BB5EB">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主要任务</w:t>
            </w:r>
          </w:p>
        </w:tc>
        <w:tc>
          <w:tcPr>
            <w:tcW w:w="275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9CECF37">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工作举措</w:t>
            </w:r>
          </w:p>
        </w:tc>
        <w:tc>
          <w:tcPr>
            <w:tcW w:w="75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F03877">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责任单位</w:t>
            </w:r>
          </w:p>
        </w:tc>
        <w:tc>
          <w:tcPr>
            <w:tcW w:w="79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3B2EBA5">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配合单位</w:t>
            </w:r>
          </w:p>
        </w:tc>
      </w:tr>
      <w:tr w14:paraId="6AEDC4BD">
        <w:tblPrEx>
          <w:tblCellMar>
            <w:top w:w="0" w:type="dxa"/>
            <w:left w:w="108" w:type="dxa"/>
            <w:bottom w:w="0" w:type="dxa"/>
            <w:right w:w="108" w:type="dxa"/>
          </w:tblCellMar>
        </w:tblPrEx>
        <w:trPr>
          <w:trHeight w:val="518"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51600006">
            <w:pPr>
              <w:kinsoku/>
              <w:jc w:val="both"/>
              <w:textAlignment w:val="center"/>
              <w:rPr>
                <w:rFonts w:hint="eastAsia" w:ascii="方正仿宋_GB2312" w:hAnsi="方正仿宋_GB2312" w:eastAsia="方正仿宋_GB2312" w:cs="方正仿宋_GB2312"/>
                <w:sz w:val="24"/>
                <w:szCs w:val="24"/>
                <w:lang w:eastAsia="zh-CN" w:bidi="ar"/>
              </w:rPr>
            </w:pPr>
            <w:r>
              <w:rPr>
                <w:rFonts w:ascii="方正仿宋_GB2312" w:hAnsi="方正仿宋_GB2312" w:eastAsia="方正仿宋_GB2312" w:cs="方正仿宋_GB2312"/>
                <w:b/>
                <w:bCs/>
                <w:sz w:val="24"/>
                <w:szCs w:val="24"/>
                <w:lang w:eastAsia="zh-CN" w:bidi="ar"/>
              </w:rPr>
              <w:t>四、占补平衡</w:t>
            </w:r>
          </w:p>
        </w:tc>
      </w:tr>
      <w:tr w14:paraId="5866D9B4">
        <w:tblPrEx>
          <w:tblCellMar>
            <w:top w:w="0" w:type="dxa"/>
            <w:left w:w="108" w:type="dxa"/>
            <w:bottom w:w="0" w:type="dxa"/>
            <w:right w:w="108" w:type="dxa"/>
          </w:tblCellMar>
        </w:tblPrEx>
        <w:trPr>
          <w:trHeight w:val="3683" w:hRule="atLeast"/>
        </w:trPr>
        <w:tc>
          <w:tcPr>
            <w:tcW w:w="26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A16957">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11</w:t>
            </w:r>
          </w:p>
        </w:tc>
        <w:tc>
          <w:tcPr>
            <w:tcW w:w="4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15310FC">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完善耕地占补平衡制度</w:t>
            </w:r>
          </w:p>
        </w:tc>
        <w:tc>
          <w:tcPr>
            <w:tcW w:w="275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ABF8057">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17.完善耕地占补平衡制度，动态围绕国家、省对占补平衡部署，强化落实耕地总量动态平衡，由“小占补”变为“大占补”的转变，扎实推进占补平衡制度落地见效，构建可持续耕地保护新格局。调整占补平衡管理范围，将非农建设、农业结构调整、造林种树等各类占用耕地行为统一纳入耕地占补平衡管理。除国家安排的生态退耕、自然灾害损毁难以复耕、河湖水面自然扩大造成耕地永久淹没及国家规定的其他可不落实补充耕地的情形外，各类占用耕地行为导致耕地减少的，均应落实耕地占补平衡，补充与所占用耕地数量和质量相当的长期稳定利用耕地。严控占用、严格补充、严守总量，通过调整管理方式、压实各级责任、强化考核监管，实现年度耕地总量动态平衡。</w:t>
            </w:r>
          </w:p>
        </w:tc>
        <w:tc>
          <w:tcPr>
            <w:tcW w:w="75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FAB7FEB">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县（市、区）人民政府，</w:t>
            </w:r>
            <w:r>
              <w:rPr>
                <w:rFonts w:hint="eastAsia" w:ascii="方正仿宋_GB2312" w:hAnsi="方正仿宋_GB2312" w:eastAsia="方正仿宋_GB2312" w:cs="方正仿宋_GB2312"/>
                <w:sz w:val="24"/>
                <w:szCs w:val="24"/>
                <w:lang w:eastAsia="zh-CN" w:bidi="ar"/>
              </w:rPr>
              <w:t>市</w:t>
            </w:r>
            <w:r>
              <w:rPr>
                <w:rFonts w:ascii="方正仿宋_GB2312" w:hAnsi="方正仿宋_GB2312" w:eastAsia="方正仿宋_GB2312" w:cs="方正仿宋_GB2312"/>
                <w:sz w:val="24"/>
                <w:szCs w:val="24"/>
                <w:lang w:eastAsia="zh-CN" w:bidi="ar"/>
              </w:rPr>
              <w:t>自然资源规划局</w:t>
            </w:r>
          </w:p>
        </w:tc>
        <w:tc>
          <w:tcPr>
            <w:tcW w:w="79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1572D05">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市发改委、市农业农村局、市林业局、市水利局、市生态环境局、市财政局</w:t>
            </w:r>
          </w:p>
        </w:tc>
      </w:tr>
      <w:tr w14:paraId="4A534738">
        <w:tblPrEx>
          <w:tblCellMar>
            <w:top w:w="0" w:type="dxa"/>
            <w:left w:w="108" w:type="dxa"/>
            <w:bottom w:w="0" w:type="dxa"/>
            <w:right w:w="108" w:type="dxa"/>
          </w:tblCellMar>
        </w:tblPrEx>
        <w:trPr>
          <w:trHeight w:val="2864" w:hRule="atLeast"/>
        </w:trPr>
        <w:tc>
          <w:tcPr>
            <w:tcW w:w="26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BAB3C4">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12</w:t>
            </w:r>
          </w:p>
        </w:tc>
        <w:tc>
          <w:tcPr>
            <w:tcW w:w="4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18F5D31">
            <w:pPr>
              <w:kinsoku/>
              <w:jc w:val="both"/>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强化落实以补定占</w:t>
            </w:r>
          </w:p>
        </w:tc>
        <w:tc>
          <w:tcPr>
            <w:tcW w:w="275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F6E55D">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18.建立下一年度耕地占用规模与现状稳定耕地净增量挂钩约束机制，以新一轮国土空间规划确定耕地保有量的基数年份稳定耕地总量为基准，将县域内现状稳定耕地净增量，即现状稳定耕地超出稳定耕地部分，作为县域内下一年度非农建设占用耕地规模上限控制，实行年度“算大帐”。对耕地总量较上一轮耕地保护目标任务存在缺口的县（市、区），稳定耕地净增量可选择用于抵补缺口，结余部分作为非农建设占用耕地规模上限。市自然资源主管部门要将市域内稳定耕地净增量分解到各县（市、区），用于管控各地下一年度非农建设占用耕地规模。</w:t>
            </w:r>
          </w:p>
        </w:tc>
        <w:tc>
          <w:tcPr>
            <w:tcW w:w="75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1C9DBFC">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县（市、区）人民政府，市自然资源规划局</w:t>
            </w:r>
          </w:p>
        </w:tc>
        <w:tc>
          <w:tcPr>
            <w:tcW w:w="79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808F2B1">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市发改委、市财政局、市农业农村局、市林业局、市水利局、市生态环境局</w:t>
            </w:r>
          </w:p>
        </w:tc>
      </w:tr>
    </w:tbl>
    <w:p w14:paraId="77E014CB">
      <w:pPr>
        <w:kinsoku/>
        <w:rPr>
          <w:lang w:eastAsia="zh-CN"/>
        </w:rPr>
      </w:pPr>
    </w:p>
    <w:p w14:paraId="6A8AADB3">
      <w:pPr>
        <w:kinsoku/>
        <w:rPr>
          <w:lang w:eastAsia="zh-CN"/>
        </w:rPr>
      </w:pPr>
      <w:r>
        <w:rPr>
          <w:lang w:eastAsia="zh-CN"/>
        </w:rPr>
        <w:br w:type="page"/>
      </w:r>
    </w:p>
    <w:tbl>
      <w:tblPr>
        <w:tblStyle w:val="9"/>
        <w:tblW w:w="4960" w:type="pct"/>
        <w:tblInd w:w="0" w:type="dxa"/>
        <w:tblLayout w:type="autofit"/>
        <w:tblCellMar>
          <w:top w:w="0" w:type="dxa"/>
          <w:left w:w="108" w:type="dxa"/>
          <w:bottom w:w="0" w:type="dxa"/>
          <w:right w:w="108" w:type="dxa"/>
        </w:tblCellMar>
      </w:tblPr>
      <w:tblGrid>
        <w:gridCol w:w="756"/>
        <w:gridCol w:w="1215"/>
        <w:gridCol w:w="7884"/>
        <w:gridCol w:w="395"/>
        <w:gridCol w:w="1578"/>
        <w:gridCol w:w="359"/>
        <w:gridCol w:w="1874"/>
      </w:tblGrid>
      <w:tr w14:paraId="19D0CF24">
        <w:tblPrEx>
          <w:tblCellMar>
            <w:top w:w="0" w:type="dxa"/>
            <w:left w:w="108" w:type="dxa"/>
            <w:bottom w:w="0" w:type="dxa"/>
            <w:right w:w="108" w:type="dxa"/>
          </w:tblCellMar>
        </w:tblPrEx>
        <w:trPr>
          <w:trHeight w:val="510"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3692E7">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序号</w:t>
            </w:r>
          </w:p>
        </w:tc>
        <w:tc>
          <w:tcPr>
            <w:tcW w:w="12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AE90D0">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主要任务</w:t>
            </w:r>
          </w:p>
        </w:tc>
        <w:tc>
          <w:tcPr>
            <w:tcW w:w="78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F68728">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工作举措</w:t>
            </w:r>
          </w:p>
        </w:tc>
        <w:tc>
          <w:tcPr>
            <w:tcW w:w="1973"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64ABCC4A">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责任单位</w:t>
            </w:r>
          </w:p>
        </w:tc>
        <w:tc>
          <w:tcPr>
            <w:tcW w:w="2233"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2DC92D04">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配合单位</w:t>
            </w:r>
          </w:p>
        </w:tc>
      </w:tr>
      <w:tr w14:paraId="09FE39F1">
        <w:tblPrEx>
          <w:tblCellMar>
            <w:top w:w="0" w:type="dxa"/>
            <w:left w:w="108" w:type="dxa"/>
            <w:bottom w:w="0" w:type="dxa"/>
            <w:right w:w="108" w:type="dxa"/>
          </w:tblCellMar>
        </w:tblPrEx>
        <w:trPr>
          <w:trHeight w:val="3776"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A76600">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13</w:t>
            </w:r>
          </w:p>
        </w:tc>
        <w:tc>
          <w:tcPr>
            <w:tcW w:w="12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010A9C">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严格落实补充耕地责任</w:t>
            </w:r>
          </w:p>
        </w:tc>
        <w:tc>
          <w:tcPr>
            <w:tcW w:w="78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00B8D8">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19.各类占用耕地占用必须按照“谁占谁补”的原则，明确补充责任主体，非农建设经批准占用耕地的，由占用耕地的单位或个人履行补充耕地义务，不能自行落实补充的，应按规定足额缴纳耕地开垦费。农民自发进行农业结构调整、造林种树等造成耕地减少的，以及村民住宅建设占用耕地的，由县级人民政府负责统筹落实补充耕地任务。对工商企业等社会资本流转土地并将耕地转为其他农用地的，县级人民政府应依法严格审查审核，采取规划、计划、经济等手段进行管控，确保占用耕地得到及时有效补充。要结合实际，根据占用耕地类型、用途和主体,明确差异化的补充耕地落实要求，制定差别化的耕地开垦费标准并及时调整。对经依法批准占用永久基本农田的非农建设项目，缴费标准按照耕地开垦费最高标准两倍执行。</w:t>
            </w:r>
          </w:p>
        </w:tc>
        <w:tc>
          <w:tcPr>
            <w:tcW w:w="1973"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68C01CD2">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县（市、区）人民政府</w:t>
            </w:r>
          </w:p>
        </w:tc>
        <w:tc>
          <w:tcPr>
            <w:tcW w:w="2233"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2D1E99C7">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市发改委、市自然资源规划局、市农业农村局、市水利局、市林业局、市生态环境局</w:t>
            </w:r>
          </w:p>
        </w:tc>
      </w:tr>
      <w:tr w14:paraId="04C14605">
        <w:tblPrEx>
          <w:tblCellMar>
            <w:top w:w="0" w:type="dxa"/>
            <w:left w:w="108" w:type="dxa"/>
            <w:bottom w:w="0" w:type="dxa"/>
            <w:right w:w="108" w:type="dxa"/>
          </w:tblCellMar>
        </w:tblPrEx>
        <w:trPr>
          <w:trHeight w:val="3736"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01936F">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14</w:t>
            </w:r>
          </w:p>
        </w:tc>
        <w:tc>
          <w:tcPr>
            <w:tcW w:w="12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821511">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拓宽补充耕地来源渠道</w:t>
            </w:r>
          </w:p>
        </w:tc>
        <w:tc>
          <w:tcPr>
            <w:tcW w:w="78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6EFDE0">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20.统筹林地、园地管理边界，重点管控“恢复”属性地块。以国土空间规划和生态环境保护要求为基础，结合上一年度国土变更调查成果确认的未利用地、其他农用地、低效闲置建设用地等各类非耕地开垦或恢复为耕地的，可作为补充耕地来源，新增加的可以长期稳定利用的耕地，用于落实补充耕地任务。利用土地综合整治、城乡建设用地增减挂钩、旱改水、高标准农田建设等项目，对耕地周边零星分散的、宜耕耕地资源实施打捆开发。要统筹规划农业生产、产业发展和造林绿化等各类空间，要考虑自然地理、种植现状和经济发展需求，科学合理安排补充耕地空间。未利用地开发要坚持生态优先、稳妥有序的原则，除国家重大专项开垦工程外，原则上应控制在新一轮耕地储备区确定的范围内实施。</w:t>
            </w:r>
          </w:p>
        </w:tc>
        <w:tc>
          <w:tcPr>
            <w:tcW w:w="1973"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7E0E45E6">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县（市、区）人民政府</w:t>
            </w:r>
          </w:p>
        </w:tc>
        <w:tc>
          <w:tcPr>
            <w:tcW w:w="2233"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049C8C5C">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市农业农村局、市林业局、市自然资源规划局</w:t>
            </w:r>
          </w:p>
        </w:tc>
      </w:tr>
      <w:tr w14:paraId="0A006FC9">
        <w:tblPrEx>
          <w:tblCellMar>
            <w:top w:w="0" w:type="dxa"/>
            <w:left w:w="108" w:type="dxa"/>
            <w:bottom w:w="0" w:type="dxa"/>
            <w:right w:w="108" w:type="dxa"/>
          </w:tblCellMar>
        </w:tblPrEx>
        <w:trPr>
          <w:trHeight w:val="510"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A7E1D2">
            <w:pPr>
              <w:kinsoku/>
              <w:jc w:val="center"/>
              <w:textAlignment w:val="center"/>
              <w:rPr>
                <w:rFonts w:hint="eastAsia" w:ascii="黑体" w:hAnsi="黑体" w:eastAsia="黑体" w:cs="黑体"/>
                <w:sz w:val="24"/>
                <w:szCs w:val="24"/>
                <w:lang w:eastAsia="zh-CN" w:bidi="ar"/>
              </w:rPr>
            </w:pPr>
            <w:r>
              <w:rPr>
                <w:lang w:eastAsia="zh-CN"/>
              </w:rPr>
              <w:br w:type="page"/>
            </w:r>
            <w:r>
              <w:rPr>
                <w:rFonts w:ascii="黑体" w:hAnsi="黑体" w:eastAsia="黑体" w:cs="黑体"/>
                <w:sz w:val="24"/>
                <w:szCs w:val="24"/>
                <w:lang w:eastAsia="zh-CN" w:bidi="ar"/>
              </w:rPr>
              <w:t>序号</w:t>
            </w:r>
          </w:p>
        </w:tc>
        <w:tc>
          <w:tcPr>
            <w:tcW w:w="12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8EEB04">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主要任务</w:t>
            </w:r>
          </w:p>
        </w:tc>
        <w:tc>
          <w:tcPr>
            <w:tcW w:w="82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49DAB4FF">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工作举措</w:t>
            </w:r>
          </w:p>
        </w:tc>
        <w:tc>
          <w:tcPr>
            <w:tcW w:w="1937"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665E6B7B">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责任单位</w:t>
            </w:r>
          </w:p>
        </w:tc>
        <w:tc>
          <w:tcPr>
            <w:tcW w:w="187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4E4D83">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配合单位</w:t>
            </w:r>
          </w:p>
        </w:tc>
      </w:tr>
      <w:tr w14:paraId="5A973D69">
        <w:tblPrEx>
          <w:tblCellMar>
            <w:top w:w="0" w:type="dxa"/>
            <w:left w:w="108" w:type="dxa"/>
            <w:bottom w:w="0" w:type="dxa"/>
            <w:right w:w="108" w:type="dxa"/>
          </w:tblCellMar>
        </w:tblPrEx>
        <w:trPr>
          <w:trHeight w:val="90"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CD39A7">
            <w:pPr>
              <w:kinsoku/>
              <w:jc w:val="center"/>
              <w:textAlignment w:val="center"/>
              <w:rPr>
                <w:rFonts w:hint="eastAsia" w:ascii="方正仿宋_GB2312" w:hAnsi="方正仿宋_GB2312" w:eastAsia="方正仿宋_GB2312" w:cs="方正仿宋_GB2312"/>
                <w:color w:val="auto"/>
                <w:sz w:val="24"/>
                <w:szCs w:val="24"/>
              </w:rPr>
            </w:pPr>
            <w:r>
              <w:rPr>
                <w:rFonts w:ascii="方正仿宋_GB2312" w:hAnsi="方正仿宋_GB2312" w:eastAsia="方正仿宋_GB2312" w:cs="方正仿宋_GB2312"/>
                <w:color w:val="auto"/>
                <w:sz w:val="24"/>
                <w:szCs w:val="24"/>
                <w:lang w:eastAsia="zh-CN" w:bidi="ar"/>
              </w:rPr>
              <w:t>15</w:t>
            </w:r>
          </w:p>
        </w:tc>
        <w:tc>
          <w:tcPr>
            <w:tcW w:w="12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298805">
            <w:pPr>
              <w:kinsoku/>
              <w:jc w:val="both"/>
              <w:textAlignment w:val="center"/>
              <w:rPr>
                <w:rFonts w:hint="eastAsia" w:ascii="方正仿宋_GB2312" w:hAnsi="方正仿宋_GB2312" w:eastAsia="方正仿宋_GB2312" w:cs="方正仿宋_GB2312"/>
                <w:color w:val="auto"/>
                <w:sz w:val="24"/>
                <w:szCs w:val="24"/>
                <w:lang w:eastAsia="zh-CN"/>
              </w:rPr>
            </w:pPr>
            <w:r>
              <w:rPr>
                <w:rFonts w:ascii="方正仿宋_GB2312" w:hAnsi="方正仿宋_GB2312" w:eastAsia="方正仿宋_GB2312" w:cs="方正仿宋_GB2312"/>
                <w:color w:val="auto"/>
                <w:sz w:val="24"/>
                <w:szCs w:val="24"/>
                <w:lang w:eastAsia="zh-CN" w:bidi="ar"/>
              </w:rPr>
              <w:t>加强补充耕地实施全过程监管</w:t>
            </w:r>
          </w:p>
        </w:tc>
        <w:tc>
          <w:tcPr>
            <w:tcW w:w="82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3554052E">
            <w:pPr>
              <w:kinsoku/>
              <w:jc w:val="both"/>
              <w:textAlignment w:val="center"/>
              <w:rPr>
                <w:rFonts w:hint="eastAsia" w:ascii="方正仿宋_GB2312" w:hAnsi="方正仿宋_GB2312" w:eastAsia="方正仿宋_GB2312" w:cs="方正仿宋_GB2312"/>
                <w:color w:val="auto"/>
                <w:sz w:val="24"/>
                <w:szCs w:val="24"/>
                <w:lang w:eastAsia="zh-CN"/>
              </w:rPr>
            </w:pPr>
            <w:r>
              <w:rPr>
                <w:rFonts w:ascii="方正仿宋_GB2312" w:hAnsi="方正仿宋_GB2312" w:eastAsia="方正仿宋_GB2312" w:cs="方正仿宋_GB2312"/>
                <w:color w:val="auto"/>
                <w:sz w:val="24"/>
                <w:szCs w:val="24"/>
                <w:lang w:eastAsia="zh-CN" w:bidi="ar"/>
              </w:rPr>
              <w:t>21.利用现代信息技术，实行补充耕地选址立项、实施、验收、省级确认、报备入库和后期管护全过程监管。选址和立项阶段加强可行性论证，确保符合生态建设、空间管控和占补平衡要求；实施阶段要因地制宜实施土地平整、田块归并、客土回填、改良培肥等工程，确保实施后新增耕地质量；项目竣工后，要严格核定新增耕地面积，评定新增耕地质量；严格执行补充耕地指标报备入库标准，带承包经营合同和成熟作物逐级按要求报备入库；报备入库的补充耕地项目纳入日常监测，确保储备新增耕地保持稳定耕种状态，保持耕地用途不变。市、县两级政府要加强补充耕地项目管理，实行部门联合开展补充耕地验收评定和“市县审核、省级复核、社会监督”机制，确保补充的耕地数量相等、质量相当、产能不降，确保补充耕地长期稳定利用符合高质量发展的耕地空间格局。补充耕地项目验收后，项目实施主体、乡镇、村组或土地承包经营者等要保障补充耕地质量建设和后期管护资金落实到位，持续监测耕地利用情况，确保每年种植一季以上粮食、蔬菜等农作物，确保补充耕地长期稳定利用。</w:t>
            </w:r>
          </w:p>
        </w:tc>
        <w:tc>
          <w:tcPr>
            <w:tcW w:w="1937"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7357759F">
            <w:pPr>
              <w:kinsoku/>
              <w:jc w:val="both"/>
              <w:textAlignment w:val="center"/>
              <w:rPr>
                <w:rFonts w:hint="eastAsia" w:ascii="方正仿宋_GB2312" w:hAnsi="方正仿宋_GB2312" w:eastAsia="方正仿宋_GB2312" w:cs="方正仿宋_GB2312"/>
                <w:color w:val="auto"/>
                <w:sz w:val="24"/>
                <w:szCs w:val="24"/>
                <w:lang w:eastAsia="zh-CN"/>
              </w:rPr>
            </w:pPr>
            <w:r>
              <w:rPr>
                <w:rFonts w:ascii="方正仿宋_GB2312" w:hAnsi="方正仿宋_GB2312" w:eastAsia="方正仿宋_GB2312" w:cs="方正仿宋_GB2312"/>
                <w:color w:val="auto"/>
                <w:sz w:val="24"/>
                <w:szCs w:val="24"/>
                <w:lang w:eastAsia="zh-CN" w:bidi="ar"/>
              </w:rPr>
              <w:t>市自然资源规划局、市农业农村局</w:t>
            </w:r>
          </w:p>
        </w:tc>
        <w:tc>
          <w:tcPr>
            <w:tcW w:w="187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4852A3">
            <w:pPr>
              <w:kinsoku/>
              <w:jc w:val="both"/>
              <w:textAlignment w:val="center"/>
              <w:rPr>
                <w:rFonts w:hint="eastAsia" w:ascii="方正仿宋_GB2312" w:hAnsi="方正仿宋_GB2312" w:eastAsia="方正仿宋_GB2312" w:cs="方正仿宋_GB2312"/>
                <w:color w:val="auto"/>
                <w:sz w:val="24"/>
                <w:szCs w:val="24"/>
                <w:lang w:eastAsia="zh-CN"/>
              </w:rPr>
            </w:pPr>
            <w:r>
              <w:rPr>
                <w:rFonts w:ascii="方正仿宋_GB2312" w:hAnsi="方正仿宋_GB2312" w:eastAsia="方正仿宋_GB2312" w:cs="方正仿宋_GB2312"/>
                <w:color w:val="auto"/>
                <w:sz w:val="24"/>
                <w:szCs w:val="24"/>
                <w:lang w:eastAsia="zh-CN" w:bidi="ar"/>
              </w:rPr>
              <w:t>县（市、区）人民政府，市发改委、市林业局、市水利局、市生态环境局、</w:t>
            </w:r>
          </w:p>
        </w:tc>
      </w:tr>
      <w:tr w14:paraId="37D83889">
        <w:tblPrEx>
          <w:tblCellMar>
            <w:top w:w="0" w:type="dxa"/>
            <w:left w:w="108" w:type="dxa"/>
            <w:bottom w:w="0" w:type="dxa"/>
            <w:right w:w="108" w:type="dxa"/>
          </w:tblCellMar>
        </w:tblPrEx>
        <w:trPr>
          <w:trHeight w:val="90"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1BCB45">
            <w:pPr>
              <w:kinsoku/>
              <w:jc w:val="center"/>
              <w:textAlignment w:val="center"/>
              <w:rPr>
                <w:rFonts w:hint="eastAsia" w:ascii="方正仿宋_GB2312" w:hAnsi="方正仿宋_GB2312" w:eastAsia="方正仿宋_GB2312" w:cs="方正仿宋_GB2312"/>
                <w:color w:val="auto"/>
                <w:sz w:val="24"/>
                <w:szCs w:val="24"/>
              </w:rPr>
            </w:pPr>
            <w:r>
              <w:rPr>
                <w:rFonts w:ascii="方正仿宋_GB2312" w:hAnsi="方正仿宋_GB2312" w:eastAsia="方正仿宋_GB2312" w:cs="方正仿宋_GB2312"/>
                <w:color w:val="auto"/>
                <w:sz w:val="24"/>
                <w:szCs w:val="24"/>
                <w:lang w:eastAsia="zh-CN" w:bidi="ar"/>
              </w:rPr>
              <w:t>16</w:t>
            </w:r>
          </w:p>
        </w:tc>
        <w:tc>
          <w:tcPr>
            <w:tcW w:w="12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520603">
            <w:pPr>
              <w:kinsoku/>
              <w:jc w:val="both"/>
              <w:textAlignment w:val="center"/>
              <w:rPr>
                <w:rFonts w:hint="eastAsia" w:ascii="方正仿宋_GB2312" w:hAnsi="方正仿宋_GB2312" w:eastAsia="方正仿宋_GB2312" w:cs="方正仿宋_GB2312"/>
                <w:color w:val="auto"/>
                <w:sz w:val="24"/>
                <w:szCs w:val="24"/>
                <w:lang w:eastAsia="zh-CN"/>
              </w:rPr>
            </w:pPr>
            <w:r>
              <w:rPr>
                <w:rFonts w:ascii="方正仿宋_GB2312" w:hAnsi="方正仿宋_GB2312" w:eastAsia="方正仿宋_GB2312" w:cs="方正仿宋_GB2312"/>
                <w:color w:val="auto"/>
                <w:sz w:val="24"/>
                <w:szCs w:val="24"/>
                <w:lang w:eastAsia="zh-CN" w:bidi="ar"/>
              </w:rPr>
              <w:t>规范耕地指标交易监督管理</w:t>
            </w:r>
          </w:p>
        </w:tc>
        <w:tc>
          <w:tcPr>
            <w:tcW w:w="82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65BD62F3">
            <w:pPr>
              <w:kinsoku/>
              <w:jc w:val="both"/>
              <w:textAlignment w:val="center"/>
              <w:rPr>
                <w:rFonts w:hint="eastAsia" w:ascii="方正仿宋_GB2312" w:hAnsi="方正仿宋_GB2312" w:eastAsia="方正仿宋_GB2312" w:cs="方正仿宋_GB2312"/>
                <w:color w:val="auto"/>
                <w:sz w:val="24"/>
                <w:szCs w:val="24"/>
                <w:lang w:eastAsia="zh-CN"/>
              </w:rPr>
            </w:pPr>
            <w:r>
              <w:rPr>
                <w:rFonts w:ascii="方正仿宋_GB2312" w:hAnsi="方正仿宋_GB2312" w:eastAsia="方正仿宋_GB2312" w:cs="方正仿宋_GB2312"/>
                <w:color w:val="auto"/>
                <w:sz w:val="24"/>
                <w:szCs w:val="24"/>
                <w:lang w:eastAsia="zh-CN" w:bidi="ar"/>
              </w:rPr>
              <w:t>22.耕地占补平衡指标实行市级统一管理、统筹使用、分账核算。坚持县域自行平衡为主、市域内调剂为辅的补充耕地落实原则，强化立足县域内自行挖潜补充。各县（市、区）人民政府在确保完成耕地保有量目标任务、满足本行政区域需要的前提下，可申请出售节余的补充耕地指标，建立县级指标库。各地实施省级及以上重大建设项目，无法自行落实占补平衡的，可申请异地购买县级指标库。加强对跨县域流转补充耕地指标的监督管理并实行交易限价，指标交易严格参照上级规定执行。市自然资源主管部门应建立补充耕地指标交易管理台账，市、县两级自然资源主管部门对补充耕地指标交易的数量、质量等情况进行实质审查，并对指标及其交易的真实性、有效性、合法性负责。</w:t>
            </w:r>
          </w:p>
        </w:tc>
        <w:tc>
          <w:tcPr>
            <w:tcW w:w="1937"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2D89F785">
            <w:pPr>
              <w:kinsoku/>
              <w:jc w:val="both"/>
              <w:textAlignment w:val="center"/>
              <w:rPr>
                <w:rFonts w:hint="eastAsia" w:ascii="方正仿宋_GB2312" w:hAnsi="方正仿宋_GB2312" w:eastAsia="方正仿宋_GB2312" w:cs="方正仿宋_GB2312"/>
                <w:color w:val="auto"/>
                <w:sz w:val="24"/>
                <w:szCs w:val="24"/>
                <w:lang w:eastAsia="zh-CN"/>
              </w:rPr>
            </w:pPr>
            <w:r>
              <w:rPr>
                <w:rFonts w:ascii="方正仿宋_GB2312" w:hAnsi="方正仿宋_GB2312" w:eastAsia="方正仿宋_GB2312" w:cs="方正仿宋_GB2312"/>
                <w:color w:val="auto"/>
                <w:sz w:val="24"/>
                <w:szCs w:val="24"/>
                <w:lang w:eastAsia="zh-CN" w:bidi="ar"/>
              </w:rPr>
              <w:t>县（市、区）人民政府</w:t>
            </w:r>
          </w:p>
        </w:tc>
        <w:tc>
          <w:tcPr>
            <w:tcW w:w="187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E9791E">
            <w:pPr>
              <w:kinsoku/>
              <w:jc w:val="both"/>
              <w:textAlignment w:val="center"/>
              <w:rPr>
                <w:rFonts w:hint="eastAsia" w:ascii="方正仿宋_GB2312" w:hAnsi="方正仿宋_GB2312" w:eastAsia="方正仿宋_GB2312" w:cs="方正仿宋_GB2312"/>
                <w:color w:val="auto"/>
                <w:sz w:val="24"/>
                <w:szCs w:val="24"/>
                <w:lang w:eastAsia="zh-CN"/>
              </w:rPr>
            </w:pPr>
            <w:r>
              <w:rPr>
                <w:rFonts w:ascii="方正仿宋_GB2312" w:hAnsi="方正仿宋_GB2312" w:eastAsia="方正仿宋_GB2312" w:cs="方正仿宋_GB2312"/>
                <w:color w:val="auto"/>
                <w:sz w:val="24"/>
                <w:szCs w:val="24"/>
                <w:lang w:eastAsia="zh-CN" w:bidi="ar"/>
              </w:rPr>
              <w:t>市财政局、市发改委、市自然资源规划局</w:t>
            </w:r>
          </w:p>
        </w:tc>
      </w:tr>
      <w:tr w14:paraId="54F56465">
        <w:tblPrEx>
          <w:tblCellMar>
            <w:top w:w="0" w:type="dxa"/>
            <w:left w:w="108" w:type="dxa"/>
            <w:bottom w:w="0" w:type="dxa"/>
            <w:right w:w="108" w:type="dxa"/>
          </w:tblCellMar>
        </w:tblPrEx>
        <w:trPr>
          <w:trHeight w:val="510"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FDA1EE">
            <w:pPr>
              <w:kinsoku/>
              <w:jc w:val="center"/>
              <w:textAlignment w:val="center"/>
              <w:rPr>
                <w:rFonts w:hint="eastAsia" w:ascii="黑体" w:hAnsi="黑体" w:eastAsia="黑体" w:cs="黑体"/>
                <w:sz w:val="24"/>
                <w:szCs w:val="24"/>
                <w:lang w:eastAsia="zh-CN" w:bidi="ar"/>
              </w:rPr>
            </w:pPr>
            <w:r>
              <w:rPr>
                <w:lang w:eastAsia="zh-CN"/>
              </w:rPr>
              <w:br w:type="page"/>
            </w:r>
            <w:r>
              <w:rPr>
                <w:rFonts w:ascii="黑体" w:hAnsi="黑体" w:eastAsia="黑体" w:cs="黑体"/>
                <w:sz w:val="24"/>
                <w:szCs w:val="24"/>
                <w:lang w:eastAsia="zh-CN" w:bidi="ar"/>
              </w:rPr>
              <w:t>序号</w:t>
            </w:r>
          </w:p>
        </w:tc>
        <w:tc>
          <w:tcPr>
            <w:tcW w:w="12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3A1036">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主要任务</w:t>
            </w:r>
          </w:p>
        </w:tc>
        <w:tc>
          <w:tcPr>
            <w:tcW w:w="78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8CBF0F">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工作举措</w:t>
            </w:r>
          </w:p>
        </w:tc>
        <w:tc>
          <w:tcPr>
            <w:tcW w:w="1973"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398A7B51">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责任单位</w:t>
            </w:r>
          </w:p>
        </w:tc>
        <w:tc>
          <w:tcPr>
            <w:tcW w:w="2233"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10A9963D">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配合单位</w:t>
            </w:r>
          </w:p>
        </w:tc>
      </w:tr>
      <w:tr w14:paraId="1A7A9D51">
        <w:tblPrEx>
          <w:tblCellMar>
            <w:top w:w="0" w:type="dxa"/>
            <w:left w:w="108" w:type="dxa"/>
            <w:bottom w:w="0" w:type="dxa"/>
            <w:right w:w="108" w:type="dxa"/>
          </w:tblCellMar>
        </w:tblPrEx>
        <w:trPr>
          <w:trHeight w:val="517" w:hRule="atLeast"/>
        </w:trPr>
        <w:tc>
          <w:tcPr>
            <w:tcW w:w="14061" w:type="dxa"/>
            <w:gridSpan w:val="7"/>
            <w:tcBorders>
              <w:top w:val="single" w:color="000000" w:sz="8" w:space="0"/>
              <w:left w:val="single" w:color="000000" w:sz="8" w:space="0"/>
              <w:bottom w:val="single" w:color="000000" w:sz="8" w:space="0"/>
              <w:right w:val="single" w:color="000000" w:sz="8" w:space="0"/>
            </w:tcBorders>
            <w:shd w:val="clear" w:color="auto" w:fill="auto"/>
            <w:vAlign w:val="center"/>
          </w:tcPr>
          <w:p w14:paraId="65196668">
            <w:pPr>
              <w:kinsoku/>
              <w:jc w:val="both"/>
              <w:textAlignment w:val="center"/>
              <w:rPr>
                <w:rFonts w:hint="eastAsia" w:ascii="方正仿宋_GB2312" w:hAnsi="方正仿宋_GB2312" w:eastAsia="方正仿宋_GB2312" w:cs="方正仿宋_GB2312"/>
                <w:sz w:val="24"/>
                <w:szCs w:val="24"/>
                <w:lang w:eastAsia="zh-CN" w:bidi="ar"/>
              </w:rPr>
            </w:pPr>
            <w:r>
              <w:rPr>
                <w:rFonts w:ascii="方正仿宋_GB2312" w:hAnsi="方正仿宋_GB2312" w:eastAsia="方正仿宋_GB2312" w:cs="方正仿宋_GB2312"/>
                <w:b/>
                <w:bCs/>
                <w:sz w:val="24"/>
                <w:szCs w:val="24"/>
                <w:lang w:eastAsia="zh-CN" w:bidi="ar"/>
              </w:rPr>
              <w:t>五、稳质稳量</w:t>
            </w:r>
          </w:p>
        </w:tc>
      </w:tr>
      <w:tr w14:paraId="1EC4BDDA">
        <w:tblPrEx>
          <w:tblCellMar>
            <w:top w:w="0" w:type="dxa"/>
            <w:left w:w="108" w:type="dxa"/>
            <w:bottom w:w="0" w:type="dxa"/>
            <w:right w:w="108" w:type="dxa"/>
          </w:tblCellMar>
        </w:tblPrEx>
        <w:trPr>
          <w:trHeight w:val="3111"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F1F7BA">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17</w:t>
            </w:r>
          </w:p>
        </w:tc>
        <w:tc>
          <w:tcPr>
            <w:tcW w:w="12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B98978">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耕地空间布局优化调整</w:t>
            </w:r>
          </w:p>
        </w:tc>
        <w:tc>
          <w:tcPr>
            <w:tcW w:w="78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DB6D79">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23.基于自然地理格局，结合适宜性原则，稳妥推进“山上”换“山下”，将山上耕地逐步调整到山下，推动果树苗木尽量上山上坡，促进农业空间布局更加符合生产规律。坚持“宜耕则耕、宜林则林、宜牧则牧、宜渔则渔”的原则，通过耕地和林地等其他农用地国土空间位置转换，解决农业生产“空间错配、功能错配”问题，将难以或不宜长期稳定利用耕地，逐步置换为可以长期稳定利用耕地，逐步解决耕地破碎化问题，实现耕地集中连片、提升耕地质量、改善耕地耕作条件。</w:t>
            </w:r>
          </w:p>
        </w:tc>
        <w:tc>
          <w:tcPr>
            <w:tcW w:w="1973"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6603B397">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县（市、区）人民政府，市自然资源规划局、市农业农村局、市林业局</w:t>
            </w:r>
          </w:p>
        </w:tc>
        <w:tc>
          <w:tcPr>
            <w:tcW w:w="2233"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370D92C7">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市发改委、市财政局、市生态环境局、市水利局</w:t>
            </w:r>
          </w:p>
        </w:tc>
      </w:tr>
      <w:tr w14:paraId="3E07C17A">
        <w:tblPrEx>
          <w:tblCellMar>
            <w:top w:w="0" w:type="dxa"/>
            <w:left w:w="108" w:type="dxa"/>
            <w:bottom w:w="0" w:type="dxa"/>
            <w:right w:w="108" w:type="dxa"/>
          </w:tblCellMar>
        </w:tblPrEx>
        <w:trPr>
          <w:trHeight w:val="2079" w:hRule="atLeast"/>
        </w:trPr>
        <w:tc>
          <w:tcPr>
            <w:tcW w:w="75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CB41AB3">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18</w:t>
            </w:r>
          </w:p>
        </w:tc>
        <w:tc>
          <w:tcPr>
            <w:tcW w:w="121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471424F">
            <w:pPr>
              <w:kinsoku/>
              <w:jc w:val="both"/>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高标准农田建设</w:t>
            </w:r>
          </w:p>
        </w:tc>
        <w:tc>
          <w:tcPr>
            <w:tcW w:w="78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099F27">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24.建设高标准农田要严格落实项目区内耕地进出平衡，严格落实耕地用途管制的要求，项目建设涉及少量占用或优化永久基本农田布局的，要在项目区内予以补足；难以补足的，应在县域范围内同步落实补划任务。项目区占用耕地建设沟渠路，导致项目区内耕地面积减少的，应补足同等数量、质量的可以长期稳定利用的耕地。</w:t>
            </w:r>
          </w:p>
        </w:tc>
        <w:tc>
          <w:tcPr>
            <w:tcW w:w="1973"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142B5577">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县（市、区）人民政府，市农业农村局</w:t>
            </w:r>
          </w:p>
        </w:tc>
        <w:tc>
          <w:tcPr>
            <w:tcW w:w="2233"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5D7A75D8">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市发改委、市财政局、市自然资源规划局</w:t>
            </w:r>
          </w:p>
        </w:tc>
      </w:tr>
      <w:tr w14:paraId="114E6BA3">
        <w:tblPrEx>
          <w:tblCellMar>
            <w:top w:w="0" w:type="dxa"/>
            <w:left w:w="108" w:type="dxa"/>
            <w:bottom w:w="0" w:type="dxa"/>
            <w:right w:w="108" w:type="dxa"/>
          </w:tblCellMar>
        </w:tblPrEx>
        <w:trPr>
          <w:trHeight w:val="1548" w:hRule="atLeast"/>
        </w:trPr>
        <w:tc>
          <w:tcPr>
            <w:tcW w:w="75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A962F46">
            <w:pPr>
              <w:kinsoku/>
              <w:jc w:val="center"/>
              <w:rPr>
                <w:rFonts w:hint="eastAsia" w:ascii="方正仿宋_GB2312" w:hAnsi="方正仿宋_GB2312" w:eastAsia="方正仿宋_GB2312" w:cs="方正仿宋_GB2312"/>
                <w:sz w:val="24"/>
                <w:szCs w:val="24"/>
                <w:lang w:eastAsia="zh-CN"/>
              </w:rPr>
            </w:pPr>
          </w:p>
        </w:tc>
        <w:tc>
          <w:tcPr>
            <w:tcW w:w="12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EA074FB">
            <w:pPr>
              <w:kinsoku/>
              <w:jc w:val="both"/>
              <w:rPr>
                <w:rFonts w:hint="eastAsia" w:ascii="方正仿宋_GB2312" w:hAnsi="方正仿宋_GB2312" w:eastAsia="方正仿宋_GB2312" w:cs="方正仿宋_GB2312"/>
                <w:sz w:val="24"/>
                <w:szCs w:val="24"/>
                <w:lang w:eastAsia="zh-CN"/>
              </w:rPr>
            </w:pPr>
          </w:p>
        </w:tc>
        <w:tc>
          <w:tcPr>
            <w:tcW w:w="78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B4B83E">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25.自然资源部门要积极参与、提前介入项目规划设计，严格审核把关，重点对机耕道、生产路、沟渠等基础设施建设占用耕地的合规性、项目耕地和永久基本农田流出情况、是否落实耕地进出平衡、是否落实永久基本农田补划等方面进行审核，并出具审核意见。</w:t>
            </w:r>
          </w:p>
        </w:tc>
        <w:tc>
          <w:tcPr>
            <w:tcW w:w="1973"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6C0D147D">
            <w:pPr>
              <w:kinsoku/>
              <w:jc w:val="both"/>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市自然资源规划局</w:t>
            </w:r>
          </w:p>
        </w:tc>
        <w:tc>
          <w:tcPr>
            <w:tcW w:w="2233"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4CD7E3E3">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县（市、区）人民政府，市农业农村局</w:t>
            </w:r>
          </w:p>
        </w:tc>
      </w:tr>
    </w:tbl>
    <w:p w14:paraId="0883FC79">
      <w:pPr>
        <w:kinsoku/>
        <w:rPr>
          <w:lang w:eastAsia="zh-CN"/>
        </w:rPr>
      </w:pPr>
      <w:r>
        <w:rPr>
          <w:lang w:eastAsia="zh-CN"/>
        </w:rPr>
        <w:br w:type="page"/>
      </w:r>
    </w:p>
    <w:tbl>
      <w:tblPr>
        <w:tblStyle w:val="9"/>
        <w:tblW w:w="4960" w:type="pct"/>
        <w:tblInd w:w="0" w:type="dxa"/>
        <w:tblLayout w:type="autofit"/>
        <w:tblCellMar>
          <w:top w:w="0" w:type="dxa"/>
          <w:left w:w="108" w:type="dxa"/>
          <w:bottom w:w="0" w:type="dxa"/>
          <w:right w:w="108" w:type="dxa"/>
        </w:tblCellMar>
      </w:tblPr>
      <w:tblGrid>
        <w:gridCol w:w="756"/>
        <w:gridCol w:w="1215"/>
        <w:gridCol w:w="7884"/>
        <w:gridCol w:w="1973"/>
        <w:gridCol w:w="2233"/>
      </w:tblGrid>
      <w:tr w14:paraId="76EF89F6">
        <w:tblPrEx>
          <w:tblCellMar>
            <w:top w:w="0" w:type="dxa"/>
            <w:left w:w="108" w:type="dxa"/>
            <w:bottom w:w="0" w:type="dxa"/>
            <w:right w:w="108" w:type="dxa"/>
          </w:tblCellMar>
        </w:tblPrEx>
        <w:trPr>
          <w:trHeight w:val="510"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796089">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序号</w:t>
            </w:r>
          </w:p>
        </w:tc>
        <w:tc>
          <w:tcPr>
            <w:tcW w:w="12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79328D">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主要任务</w:t>
            </w:r>
          </w:p>
        </w:tc>
        <w:tc>
          <w:tcPr>
            <w:tcW w:w="78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950957">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工作举措</w:t>
            </w:r>
          </w:p>
        </w:tc>
        <w:tc>
          <w:tcPr>
            <w:tcW w:w="19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941855">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责任单位</w:t>
            </w:r>
          </w:p>
        </w:tc>
        <w:tc>
          <w:tcPr>
            <w:tcW w:w="22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766AE4">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配合单位</w:t>
            </w:r>
          </w:p>
        </w:tc>
      </w:tr>
      <w:tr w14:paraId="564BD47A">
        <w:tblPrEx>
          <w:tblCellMar>
            <w:top w:w="0" w:type="dxa"/>
            <w:left w:w="108" w:type="dxa"/>
            <w:bottom w:w="0" w:type="dxa"/>
            <w:right w:w="108" w:type="dxa"/>
          </w:tblCellMar>
        </w:tblPrEx>
        <w:trPr>
          <w:trHeight w:val="1634" w:hRule="atLeast"/>
        </w:trPr>
        <w:tc>
          <w:tcPr>
            <w:tcW w:w="756" w:type="dxa"/>
            <w:vMerge w:val="restart"/>
            <w:tcBorders>
              <w:top w:val="single" w:color="000000" w:sz="8" w:space="0"/>
              <w:left w:val="single" w:color="000000" w:sz="8" w:space="0"/>
              <w:right w:val="single" w:color="000000" w:sz="8" w:space="0"/>
            </w:tcBorders>
            <w:shd w:val="clear" w:color="auto" w:fill="auto"/>
            <w:vAlign w:val="center"/>
          </w:tcPr>
          <w:p w14:paraId="5E8C9A1A">
            <w:pPr>
              <w:kinsoku/>
              <w:jc w:val="center"/>
              <w:textAlignment w:val="center"/>
              <w:rPr>
                <w:rFonts w:hint="eastAsia" w:ascii="方正仿宋_GB2312" w:hAnsi="方正仿宋_GB2312" w:eastAsia="方正仿宋_GB2312" w:cs="方正仿宋_GB2312"/>
                <w:sz w:val="24"/>
                <w:szCs w:val="24"/>
                <w:lang w:eastAsia="zh-CN" w:bidi="ar"/>
              </w:rPr>
            </w:pPr>
            <w:r>
              <w:rPr>
                <w:rFonts w:ascii="方正仿宋_GB2312" w:hAnsi="方正仿宋_GB2312" w:eastAsia="方正仿宋_GB2312" w:cs="方正仿宋_GB2312"/>
                <w:sz w:val="24"/>
                <w:szCs w:val="24"/>
                <w:lang w:eastAsia="zh-CN" w:bidi="ar"/>
              </w:rPr>
              <w:t>18</w:t>
            </w:r>
          </w:p>
        </w:tc>
        <w:tc>
          <w:tcPr>
            <w:tcW w:w="1215" w:type="dxa"/>
            <w:vMerge w:val="restart"/>
            <w:tcBorders>
              <w:top w:val="single" w:color="000000" w:sz="8" w:space="0"/>
              <w:left w:val="single" w:color="000000" w:sz="8" w:space="0"/>
              <w:right w:val="single" w:color="000000" w:sz="8" w:space="0"/>
            </w:tcBorders>
            <w:shd w:val="clear" w:color="auto" w:fill="auto"/>
            <w:vAlign w:val="center"/>
          </w:tcPr>
          <w:p w14:paraId="5300BB79">
            <w:pPr>
              <w:kinsoku/>
              <w:jc w:val="both"/>
              <w:textAlignment w:val="center"/>
              <w:rPr>
                <w:rFonts w:hint="eastAsia" w:ascii="方正仿宋_GB2312" w:hAnsi="方正仿宋_GB2312" w:eastAsia="方正仿宋_GB2312" w:cs="方正仿宋_GB2312"/>
                <w:sz w:val="24"/>
                <w:szCs w:val="24"/>
                <w:lang w:eastAsia="zh-CN" w:bidi="ar"/>
              </w:rPr>
            </w:pPr>
            <w:r>
              <w:rPr>
                <w:rFonts w:ascii="方正仿宋_GB2312" w:hAnsi="方正仿宋_GB2312" w:eastAsia="方正仿宋_GB2312" w:cs="方正仿宋_GB2312"/>
                <w:sz w:val="24"/>
                <w:szCs w:val="24"/>
                <w:lang w:eastAsia="zh-CN" w:bidi="ar"/>
              </w:rPr>
              <w:t>高标准农田建设</w:t>
            </w:r>
          </w:p>
        </w:tc>
        <w:tc>
          <w:tcPr>
            <w:tcW w:w="78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24FD9A">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26.农业农村部门要配合自然资源主管部门开展新增耕地报备入库工作，主动提供高标准农田项目新增耕地报备入库资料，自然资源部门要按照有关规定严格核定新增耕地，符合报备入库要求的，应及时在耕地占补平衡动态监管系统内报备入库，确保高标准农田项目补充耕地指标有效利用，新增耕地要及时纳入年度国土变更调查，完成耕地地类变更。</w:t>
            </w:r>
          </w:p>
        </w:tc>
        <w:tc>
          <w:tcPr>
            <w:tcW w:w="19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21E552">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市农业农村局</w:t>
            </w:r>
          </w:p>
        </w:tc>
        <w:tc>
          <w:tcPr>
            <w:tcW w:w="22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B67559A">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县（市、区）人民政府，</w:t>
            </w:r>
            <w:r>
              <w:rPr>
                <w:rFonts w:hint="eastAsia" w:ascii="方正仿宋_GB2312" w:hAnsi="方正仿宋_GB2312" w:eastAsia="方正仿宋_GB2312" w:cs="方正仿宋_GB2312"/>
                <w:sz w:val="24"/>
                <w:szCs w:val="24"/>
                <w:lang w:eastAsia="zh-CN" w:bidi="ar"/>
              </w:rPr>
              <w:t>市</w:t>
            </w:r>
            <w:r>
              <w:rPr>
                <w:rFonts w:ascii="方正仿宋_GB2312" w:hAnsi="方正仿宋_GB2312" w:eastAsia="方正仿宋_GB2312" w:cs="方正仿宋_GB2312"/>
                <w:sz w:val="24"/>
                <w:szCs w:val="24"/>
                <w:lang w:eastAsia="zh-CN" w:bidi="ar"/>
              </w:rPr>
              <w:t>自然资源规划局</w:t>
            </w:r>
          </w:p>
        </w:tc>
      </w:tr>
      <w:tr w14:paraId="578CD1C3">
        <w:tblPrEx>
          <w:tblCellMar>
            <w:top w:w="0" w:type="dxa"/>
            <w:left w:w="108" w:type="dxa"/>
            <w:bottom w:w="0" w:type="dxa"/>
            <w:right w:w="108" w:type="dxa"/>
          </w:tblCellMar>
        </w:tblPrEx>
        <w:trPr>
          <w:trHeight w:val="1481" w:hRule="atLeast"/>
        </w:trPr>
        <w:tc>
          <w:tcPr>
            <w:tcW w:w="756" w:type="dxa"/>
            <w:vMerge w:val="continue"/>
            <w:tcBorders>
              <w:left w:val="single" w:color="000000" w:sz="8" w:space="0"/>
              <w:bottom w:val="single" w:color="000000" w:sz="8" w:space="0"/>
              <w:right w:val="single" w:color="000000" w:sz="8" w:space="0"/>
            </w:tcBorders>
            <w:shd w:val="clear" w:color="auto" w:fill="auto"/>
            <w:vAlign w:val="center"/>
          </w:tcPr>
          <w:p w14:paraId="36233CDD">
            <w:pPr>
              <w:kinsoku/>
              <w:jc w:val="center"/>
              <w:textAlignment w:val="center"/>
              <w:rPr>
                <w:rFonts w:hint="eastAsia" w:ascii="方正仿宋_GB2312" w:hAnsi="方正仿宋_GB2312" w:eastAsia="方正仿宋_GB2312" w:cs="方正仿宋_GB2312"/>
                <w:sz w:val="24"/>
                <w:szCs w:val="24"/>
                <w:lang w:eastAsia="zh-CN" w:bidi="ar"/>
              </w:rPr>
            </w:pPr>
          </w:p>
        </w:tc>
        <w:tc>
          <w:tcPr>
            <w:tcW w:w="1215" w:type="dxa"/>
            <w:vMerge w:val="continue"/>
            <w:tcBorders>
              <w:left w:val="single" w:color="000000" w:sz="8" w:space="0"/>
              <w:bottom w:val="single" w:color="000000" w:sz="8" w:space="0"/>
              <w:right w:val="single" w:color="000000" w:sz="8" w:space="0"/>
            </w:tcBorders>
            <w:shd w:val="clear" w:color="auto" w:fill="auto"/>
            <w:vAlign w:val="center"/>
          </w:tcPr>
          <w:p w14:paraId="00E2BD63">
            <w:pPr>
              <w:kinsoku/>
              <w:jc w:val="both"/>
              <w:textAlignment w:val="center"/>
              <w:rPr>
                <w:rFonts w:hint="eastAsia" w:ascii="方正仿宋_GB2312" w:hAnsi="方正仿宋_GB2312" w:eastAsia="方正仿宋_GB2312" w:cs="方正仿宋_GB2312"/>
                <w:sz w:val="24"/>
                <w:szCs w:val="24"/>
                <w:lang w:eastAsia="zh-CN" w:bidi="ar"/>
              </w:rPr>
            </w:pPr>
          </w:p>
        </w:tc>
        <w:tc>
          <w:tcPr>
            <w:tcW w:w="78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881CF0">
            <w:pPr>
              <w:kinsoku/>
              <w:jc w:val="both"/>
              <w:textAlignment w:val="center"/>
              <w:rPr>
                <w:rFonts w:hint="eastAsia" w:ascii="方正仿宋_GB2312" w:hAnsi="方正仿宋_GB2312" w:eastAsia="方正仿宋_GB2312" w:cs="方正仿宋_GB2312"/>
                <w:sz w:val="24"/>
                <w:szCs w:val="24"/>
                <w:lang w:eastAsia="zh-CN" w:bidi="ar"/>
              </w:rPr>
            </w:pPr>
            <w:r>
              <w:rPr>
                <w:rFonts w:ascii="方正仿宋_GB2312" w:hAnsi="方正仿宋_GB2312" w:eastAsia="方正仿宋_GB2312" w:cs="方正仿宋_GB2312"/>
                <w:sz w:val="24"/>
                <w:szCs w:val="24"/>
                <w:lang w:eastAsia="zh-CN" w:bidi="ar"/>
              </w:rPr>
              <w:t>27.建成的高标准农田，要依法按程序及时划为永久基本农田，实行特殊保护，各类非农建设项目经依法批准占用高标准农田的，要及时补充补建，确保数量不减少、质量不降低。</w:t>
            </w:r>
          </w:p>
        </w:tc>
        <w:tc>
          <w:tcPr>
            <w:tcW w:w="19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CAEFD8">
            <w:pPr>
              <w:kinsoku/>
              <w:jc w:val="both"/>
              <w:textAlignment w:val="center"/>
              <w:rPr>
                <w:rFonts w:hint="eastAsia" w:ascii="方正仿宋_GB2312" w:hAnsi="方正仿宋_GB2312" w:eastAsia="方正仿宋_GB2312" w:cs="方正仿宋_GB2312"/>
                <w:sz w:val="24"/>
                <w:szCs w:val="24"/>
                <w:lang w:eastAsia="zh-CN" w:bidi="ar"/>
              </w:rPr>
            </w:pPr>
            <w:r>
              <w:rPr>
                <w:rFonts w:ascii="方正仿宋_GB2312" w:hAnsi="方正仿宋_GB2312" w:eastAsia="方正仿宋_GB2312" w:cs="方正仿宋_GB2312"/>
                <w:sz w:val="24"/>
                <w:szCs w:val="24"/>
                <w:lang w:eastAsia="zh-CN" w:bidi="ar"/>
              </w:rPr>
              <w:t>市农业农村局、</w:t>
            </w:r>
            <w:r>
              <w:rPr>
                <w:rFonts w:hint="eastAsia" w:ascii="方正仿宋_GB2312" w:hAnsi="方正仿宋_GB2312" w:eastAsia="方正仿宋_GB2312" w:cs="方正仿宋_GB2312"/>
                <w:sz w:val="24"/>
                <w:szCs w:val="24"/>
                <w:lang w:eastAsia="zh-CN" w:bidi="ar"/>
              </w:rPr>
              <w:t>市</w:t>
            </w:r>
            <w:r>
              <w:rPr>
                <w:rFonts w:ascii="方正仿宋_GB2312" w:hAnsi="方正仿宋_GB2312" w:eastAsia="方正仿宋_GB2312" w:cs="方正仿宋_GB2312"/>
                <w:sz w:val="24"/>
                <w:szCs w:val="24"/>
                <w:lang w:eastAsia="zh-CN" w:bidi="ar"/>
              </w:rPr>
              <w:t>自然资源规划局</w:t>
            </w:r>
          </w:p>
        </w:tc>
        <w:tc>
          <w:tcPr>
            <w:tcW w:w="22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5FE97B">
            <w:pPr>
              <w:kinsoku/>
              <w:jc w:val="both"/>
              <w:textAlignment w:val="center"/>
              <w:rPr>
                <w:rFonts w:hint="eastAsia" w:ascii="方正仿宋_GB2312" w:hAnsi="方正仿宋_GB2312" w:eastAsia="方正仿宋_GB2312" w:cs="方正仿宋_GB2312"/>
                <w:sz w:val="24"/>
                <w:szCs w:val="24"/>
                <w:lang w:eastAsia="zh-CN" w:bidi="ar"/>
              </w:rPr>
            </w:pPr>
            <w:r>
              <w:rPr>
                <w:rFonts w:ascii="方正仿宋_GB2312" w:hAnsi="方正仿宋_GB2312" w:eastAsia="方正仿宋_GB2312" w:cs="方正仿宋_GB2312"/>
                <w:sz w:val="24"/>
                <w:szCs w:val="24"/>
                <w:lang w:eastAsia="zh-CN" w:bidi="ar"/>
              </w:rPr>
              <w:t>县（市、区）人民政府，市自然资源规划局</w:t>
            </w:r>
          </w:p>
        </w:tc>
      </w:tr>
      <w:tr w14:paraId="401A243F">
        <w:tblPrEx>
          <w:tblCellMar>
            <w:top w:w="0" w:type="dxa"/>
            <w:left w:w="108" w:type="dxa"/>
            <w:bottom w:w="0" w:type="dxa"/>
            <w:right w:w="108" w:type="dxa"/>
          </w:tblCellMar>
        </w:tblPrEx>
        <w:trPr>
          <w:trHeight w:val="2994"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57FF44">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19</w:t>
            </w:r>
          </w:p>
        </w:tc>
        <w:tc>
          <w:tcPr>
            <w:tcW w:w="12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E8C418">
            <w:pPr>
              <w:kinsoku/>
              <w:jc w:val="both"/>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耕作层剥离再利用</w:t>
            </w:r>
          </w:p>
        </w:tc>
        <w:tc>
          <w:tcPr>
            <w:tcW w:w="78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B7B83E">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28.建立健全耕地耕作层剥离再利用实施举措，切实做到“应剥尽剥、高效利用”。推进耕作层剥离与再利用紧密衔接，剥离耕作层优先用于提质改造、高标准农田建设、恢复耕地、土地整治、抬田工程等项目，各县（市、区）主管部门应督促建设单位落实责任，将耕作层再利用方案编制、土壤剥离、存储、运输、回覆、培肥改良、后期管理等相关费用列入建设项目投资预算，保证资金落实到位。建立耕作层剥离土壤资源供应动态台账，实行再利用全过程监管，探索剥离层土壤有偿交易使用实施路径，促进耕作层再利用有序循环实施，提高再利用综合效益。</w:t>
            </w:r>
          </w:p>
        </w:tc>
        <w:tc>
          <w:tcPr>
            <w:tcW w:w="19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23EF19">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县（市、区）人民政府</w:t>
            </w:r>
          </w:p>
        </w:tc>
        <w:tc>
          <w:tcPr>
            <w:tcW w:w="22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988459">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市发改委、市财政局、市自然资源规划局、市农业农村局</w:t>
            </w:r>
          </w:p>
        </w:tc>
      </w:tr>
    </w:tbl>
    <w:p w14:paraId="45ED5D87">
      <w:pPr>
        <w:kinsoku/>
        <w:rPr>
          <w:lang w:eastAsia="zh-CN"/>
        </w:rPr>
      </w:pPr>
    </w:p>
    <w:p w14:paraId="3E29D950">
      <w:pPr>
        <w:kinsoku/>
        <w:rPr>
          <w:lang w:eastAsia="zh-CN"/>
        </w:rPr>
      </w:pPr>
      <w:r>
        <w:rPr>
          <w:lang w:eastAsia="zh-CN"/>
        </w:rPr>
        <w:br w:type="page"/>
      </w:r>
    </w:p>
    <w:tbl>
      <w:tblPr>
        <w:tblStyle w:val="9"/>
        <w:tblW w:w="4960" w:type="pct"/>
        <w:tblInd w:w="0" w:type="dxa"/>
        <w:tblLayout w:type="autofit"/>
        <w:tblCellMar>
          <w:top w:w="0" w:type="dxa"/>
          <w:left w:w="108" w:type="dxa"/>
          <w:bottom w:w="0" w:type="dxa"/>
          <w:right w:w="108" w:type="dxa"/>
        </w:tblCellMar>
      </w:tblPr>
      <w:tblGrid>
        <w:gridCol w:w="756"/>
        <w:gridCol w:w="1215"/>
        <w:gridCol w:w="7950"/>
        <w:gridCol w:w="2027"/>
        <w:gridCol w:w="2113"/>
      </w:tblGrid>
      <w:tr w14:paraId="4CAF49A3">
        <w:tblPrEx>
          <w:tblCellMar>
            <w:top w:w="0" w:type="dxa"/>
            <w:left w:w="108" w:type="dxa"/>
            <w:bottom w:w="0" w:type="dxa"/>
            <w:right w:w="108" w:type="dxa"/>
          </w:tblCellMar>
        </w:tblPrEx>
        <w:trPr>
          <w:trHeight w:val="510"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82A0A9">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序号</w:t>
            </w:r>
          </w:p>
        </w:tc>
        <w:tc>
          <w:tcPr>
            <w:tcW w:w="12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5A61FD">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主要任务</w:t>
            </w:r>
          </w:p>
        </w:tc>
        <w:tc>
          <w:tcPr>
            <w:tcW w:w="79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6E04A5">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工作举措</w:t>
            </w:r>
          </w:p>
        </w:tc>
        <w:tc>
          <w:tcPr>
            <w:tcW w:w="202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B510B3">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责任单位</w:t>
            </w:r>
          </w:p>
        </w:tc>
        <w:tc>
          <w:tcPr>
            <w:tcW w:w="21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4E6617">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配合单位</w:t>
            </w:r>
          </w:p>
        </w:tc>
      </w:tr>
      <w:tr w14:paraId="6B3A2179">
        <w:tblPrEx>
          <w:tblCellMar>
            <w:top w:w="0" w:type="dxa"/>
            <w:left w:w="108" w:type="dxa"/>
            <w:bottom w:w="0" w:type="dxa"/>
            <w:right w:w="108" w:type="dxa"/>
          </w:tblCellMar>
        </w:tblPrEx>
        <w:trPr>
          <w:trHeight w:val="3807"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A8D56B">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20</w:t>
            </w:r>
          </w:p>
        </w:tc>
        <w:tc>
          <w:tcPr>
            <w:tcW w:w="12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105698">
            <w:pPr>
              <w:kinsoku/>
              <w:jc w:val="both"/>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加强耕地安全利用</w:t>
            </w:r>
          </w:p>
        </w:tc>
        <w:tc>
          <w:tcPr>
            <w:tcW w:w="79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D6CE46">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29.加强耕地培肥培育改良，综合采取工程、生物、农艺等措施，探索开展耕地综合治理提升，加速土壤熟化提质，强化土壤肥力保护，有效提高耕地产能。积极稳妥推进耕地轮作休耕制度，鼓励在水资源超载、生态严重退化等地区开展轮作休耕。实施耕地土壤环境质量分类管理，将符合条件的优先保护类耕地划为永久基本农田，在优先保护类耕地集中的地区，优先开展高标准农田建设项目；对污染程度较轻的安全利用类耕地，合理利用耕地土壤生产功能，采取品种替代、水肥调控、土壤调理等安全利用措施，降低农产品重金属超标风险；对于污染程度较重的严格管控类耕地，应当依法采取风险管控措施；对于产出的农产品污染物含量超标需要实施修复的耕地，应当督促土壤污染责任人编制修复方案，实施修复活动，确保农产品质量安全。</w:t>
            </w:r>
          </w:p>
        </w:tc>
        <w:tc>
          <w:tcPr>
            <w:tcW w:w="202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B43118">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县（市、区）人民政府，市农业农村局</w:t>
            </w:r>
          </w:p>
        </w:tc>
        <w:tc>
          <w:tcPr>
            <w:tcW w:w="21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CC1B26">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市财政局、市生态环境局、市水利局、市自然资源规划局</w:t>
            </w:r>
          </w:p>
        </w:tc>
      </w:tr>
      <w:tr w14:paraId="49CF05DA">
        <w:tblPrEx>
          <w:tblCellMar>
            <w:top w:w="0" w:type="dxa"/>
            <w:left w:w="108" w:type="dxa"/>
            <w:bottom w:w="0" w:type="dxa"/>
            <w:right w:w="108" w:type="dxa"/>
          </w:tblCellMar>
        </w:tblPrEx>
        <w:trPr>
          <w:trHeight w:val="531" w:hRule="atLeast"/>
        </w:trPr>
        <w:tc>
          <w:tcPr>
            <w:tcW w:w="14061" w:type="dxa"/>
            <w:gridSpan w:val="5"/>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23004B">
            <w:pPr>
              <w:kinsoku/>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b/>
                <w:bCs/>
                <w:sz w:val="24"/>
                <w:szCs w:val="24"/>
                <w:lang w:eastAsia="zh-CN" w:bidi="ar"/>
              </w:rPr>
              <w:t>六、管理监督</w:t>
            </w:r>
          </w:p>
        </w:tc>
      </w:tr>
      <w:tr w14:paraId="159785DF">
        <w:tblPrEx>
          <w:tblCellMar>
            <w:top w:w="0" w:type="dxa"/>
            <w:left w:w="108" w:type="dxa"/>
            <w:bottom w:w="0" w:type="dxa"/>
            <w:right w:w="108" w:type="dxa"/>
          </w:tblCellMar>
        </w:tblPrEx>
        <w:trPr>
          <w:trHeight w:val="2940"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205669">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21</w:t>
            </w:r>
          </w:p>
        </w:tc>
        <w:tc>
          <w:tcPr>
            <w:tcW w:w="12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9FC84C">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耕地保护动态监测体系建设</w:t>
            </w:r>
          </w:p>
        </w:tc>
        <w:tc>
          <w:tcPr>
            <w:tcW w:w="79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D3D065">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30.各级自然资源和规划部门、农业农村部门要加快完善耕地动态监测监管，通过综合运用卫星遥感、无人机、视频监控、物联网、“调查云”等信息技术手段，对耕地进行每半年开展一次耕地动态监测，全面精准掌握耕地情况，加快从数据到决策、从决策到指令的过程，探索加强耕地空间治理能力。建立健全一体化监测预警评价机制，对耕地和永久基本农田、耕地占补平衡和进出平衡、违法占用耕地和永久基本农田等情况开展监测，根据监测评估结果分析研判，实行差异化管控政策和措施，对发现的问题及时预警，并向同级党委、政府报告耕地动态监测情况。</w:t>
            </w:r>
          </w:p>
        </w:tc>
        <w:tc>
          <w:tcPr>
            <w:tcW w:w="202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EE82CA">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w:t>
            </w:r>
            <w:r>
              <w:rPr>
                <w:rFonts w:hint="eastAsia" w:ascii="方正仿宋_GB2312" w:hAnsi="方正仿宋_GB2312" w:eastAsia="方正仿宋_GB2312" w:cs="方正仿宋_GB2312"/>
                <w:sz w:val="24"/>
                <w:szCs w:val="24"/>
                <w:lang w:eastAsia="zh-CN" w:bidi="ar"/>
              </w:rPr>
              <w:t>党委、</w:t>
            </w:r>
            <w:r>
              <w:rPr>
                <w:rFonts w:ascii="方正仿宋_GB2312" w:hAnsi="方正仿宋_GB2312" w:eastAsia="方正仿宋_GB2312" w:cs="方正仿宋_GB2312"/>
                <w:sz w:val="24"/>
                <w:szCs w:val="24"/>
                <w:lang w:eastAsia="zh-CN" w:bidi="ar"/>
              </w:rPr>
              <w:t>人民政府，市自然资源规划局</w:t>
            </w:r>
          </w:p>
        </w:tc>
        <w:tc>
          <w:tcPr>
            <w:tcW w:w="21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1C5FE5">
            <w:pPr>
              <w:kinsoku/>
              <w:jc w:val="both"/>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市农业农村局</w:t>
            </w:r>
          </w:p>
        </w:tc>
      </w:tr>
    </w:tbl>
    <w:p w14:paraId="70F77FE5">
      <w:pPr>
        <w:kinsoku/>
      </w:pPr>
      <w:r>
        <w:br w:type="page"/>
      </w:r>
    </w:p>
    <w:tbl>
      <w:tblPr>
        <w:tblStyle w:val="9"/>
        <w:tblW w:w="4960" w:type="pct"/>
        <w:tblInd w:w="0" w:type="dxa"/>
        <w:tblLayout w:type="autofit"/>
        <w:tblCellMar>
          <w:top w:w="0" w:type="dxa"/>
          <w:left w:w="108" w:type="dxa"/>
          <w:bottom w:w="0" w:type="dxa"/>
          <w:right w:w="108" w:type="dxa"/>
        </w:tblCellMar>
      </w:tblPr>
      <w:tblGrid>
        <w:gridCol w:w="756"/>
        <w:gridCol w:w="1215"/>
        <w:gridCol w:w="7937"/>
        <w:gridCol w:w="1911"/>
        <w:gridCol w:w="2242"/>
      </w:tblGrid>
      <w:tr w14:paraId="63E6198E">
        <w:tblPrEx>
          <w:tblCellMar>
            <w:top w:w="0" w:type="dxa"/>
            <w:left w:w="108" w:type="dxa"/>
            <w:bottom w:w="0" w:type="dxa"/>
            <w:right w:w="108" w:type="dxa"/>
          </w:tblCellMar>
        </w:tblPrEx>
        <w:trPr>
          <w:trHeight w:val="510"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F27AC3">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序号</w:t>
            </w:r>
          </w:p>
        </w:tc>
        <w:tc>
          <w:tcPr>
            <w:tcW w:w="12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5C6D5F">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主要任务</w:t>
            </w:r>
          </w:p>
        </w:tc>
        <w:tc>
          <w:tcPr>
            <w:tcW w:w="79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DCA9E2">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工作举措</w:t>
            </w:r>
          </w:p>
        </w:tc>
        <w:tc>
          <w:tcPr>
            <w:tcW w:w="1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6E0ACE">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责任单位</w:t>
            </w:r>
          </w:p>
        </w:tc>
        <w:tc>
          <w:tcPr>
            <w:tcW w:w="224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A17A86">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配合单位</w:t>
            </w:r>
          </w:p>
        </w:tc>
      </w:tr>
      <w:tr w14:paraId="0265E122">
        <w:tblPrEx>
          <w:tblCellMar>
            <w:top w:w="0" w:type="dxa"/>
            <w:left w:w="108" w:type="dxa"/>
            <w:bottom w:w="0" w:type="dxa"/>
            <w:right w:w="108" w:type="dxa"/>
          </w:tblCellMar>
        </w:tblPrEx>
        <w:trPr>
          <w:trHeight w:val="3111"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6F433E">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22</w:t>
            </w:r>
          </w:p>
        </w:tc>
        <w:tc>
          <w:tcPr>
            <w:tcW w:w="12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734F29">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探索推进耕地保护</w:t>
            </w:r>
            <w:r>
              <w:rPr>
                <w:rFonts w:hint="eastAsia" w:ascii="方正仿宋_GB2312" w:hAnsi="方正仿宋_GB2312" w:eastAsia="方正仿宋_GB2312" w:cs="方正仿宋_GB2312"/>
                <w:sz w:val="24"/>
                <w:szCs w:val="24"/>
                <w:lang w:eastAsia="zh-CN" w:bidi="ar"/>
              </w:rPr>
              <w:t>网格化管理</w:t>
            </w:r>
          </w:p>
        </w:tc>
        <w:tc>
          <w:tcPr>
            <w:tcW w:w="79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B07CC2">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31.构建市、县、乡、村级</w:t>
            </w:r>
            <w:r>
              <w:rPr>
                <w:rFonts w:hint="eastAsia" w:ascii="方正仿宋_GB2312" w:hAnsi="方正仿宋_GB2312" w:eastAsia="方正仿宋_GB2312" w:cs="方正仿宋_GB2312"/>
                <w:sz w:val="24"/>
                <w:szCs w:val="24"/>
                <w:lang w:eastAsia="zh-CN" w:bidi="ar"/>
              </w:rPr>
              <w:t>耕地保护</w:t>
            </w:r>
            <w:r>
              <w:rPr>
                <w:rFonts w:ascii="方正仿宋_GB2312" w:hAnsi="方正仿宋_GB2312" w:eastAsia="方正仿宋_GB2312" w:cs="方正仿宋_GB2312"/>
                <w:sz w:val="24"/>
                <w:szCs w:val="24"/>
                <w:lang w:eastAsia="zh-CN" w:bidi="ar"/>
              </w:rPr>
              <w:t>网格化监管机制。市级</w:t>
            </w:r>
            <w:r>
              <w:rPr>
                <w:rFonts w:hint="eastAsia" w:ascii="方正仿宋_GB2312" w:hAnsi="方正仿宋_GB2312" w:eastAsia="方正仿宋_GB2312" w:cs="方正仿宋_GB2312"/>
                <w:sz w:val="24"/>
                <w:szCs w:val="24"/>
                <w:lang w:eastAsia="zh-CN" w:bidi="ar"/>
              </w:rPr>
              <w:t>网格</w:t>
            </w:r>
            <w:r>
              <w:rPr>
                <w:rFonts w:ascii="方正仿宋_GB2312" w:hAnsi="方正仿宋_GB2312" w:eastAsia="方正仿宋_GB2312" w:cs="方正仿宋_GB2312"/>
                <w:sz w:val="24"/>
                <w:szCs w:val="24"/>
                <w:lang w:eastAsia="zh-CN" w:bidi="ar"/>
              </w:rPr>
              <w:t>长负责统筹全市耕地保护工作；县级</w:t>
            </w:r>
            <w:r>
              <w:rPr>
                <w:rFonts w:hint="eastAsia" w:ascii="方正仿宋_GB2312" w:hAnsi="方正仿宋_GB2312" w:eastAsia="方正仿宋_GB2312" w:cs="方正仿宋_GB2312"/>
                <w:sz w:val="24"/>
                <w:szCs w:val="24"/>
                <w:lang w:eastAsia="zh-CN" w:bidi="ar"/>
              </w:rPr>
              <w:t>网格</w:t>
            </w:r>
            <w:r>
              <w:rPr>
                <w:rFonts w:ascii="方正仿宋_GB2312" w:hAnsi="方正仿宋_GB2312" w:eastAsia="方正仿宋_GB2312" w:cs="方正仿宋_GB2312"/>
                <w:sz w:val="24"/>
                <w:szCs w:val="24"/>
                <w:lang w:eastAsia="zh-CN" w:bidi="ar"/>
              </w:rPr>
              <w:t>长对本地耕地保护目标、永久基本农田保护、耕地占补平衡等负总责。乡级</w:t>
            </w:r>
            <w:r>
              <w:rPr>
                <w:rFonts w:hint="eastAsia" w:ascii="方正仿宋_GB2312" w:hAnsi="方正仿宋_GB2312" w:eastAsia="方正仿宋_GB2312" w:cs="方正仿宋_GB2312"/>
                <w:sz w:val="24"/>
                <w:szCs w:val="24"/>
                <w:lang w:eastAsia="zh-CN" w:bidi="ar"/>
              </w:rPr>
              <w:t>网格长</w:t>
            </w:r>
            <w:r>
              <w:rPr>
                <w:rFonts w:ascii="方正仿宋_GB2312" w:hAnsi="方正仿宋_GB2312" w:eastAsia="方正仿宋_GB2312" w:cs="方正仿宋_GB2312"/>
                <w:sz w:val="24"/>
                <w:szCs w:val="24"/>
                <w:lang w:eastAsia="zh-CN" w:bidi="ar"/>
              </w:rPr>
              <w:t>负责组织实施耕地和永久基本农田保护利用工作。村级</w:t>
            </w:r>
            <w:r>
              <w:rPr>
                <w:rFonts w:hint="eastAsia" w:ascii="方正仿宋_GB2312" w:hAnsi="方正仿宋_GB2312" w:eastAsia="方正仿宋_GB2312" w:cs="方正仿宋_GB2312"/>
                <w:sz w:val="24"/>
                <w:szCs w:val="24"/>
                <w:lang w:eastAsia="zh-CN" w:bidi="ar"/>
              </w:rPr>
              <w:t>网格长</w:t>
            </w:r>
            <w:r>
              <w:rPr>
                <w:rFonts w:ascii="方正仿宋_GB2312" w:hAnsi="方正仿宋_GB2312" w:eastAsia="方正仿宋_GB2312" w:cs="方正仿宋_GB2312"/>
                <w:sz w:val="24"/>
                <w:szCs w:val="24"/>
                <w:lang w:eastAsia="zh-CN" w:bidi="ar"/>
              </w:rPr>
              <w:t>负责及时发现、制止、报告违法占用耕地行为，开展劝耕促耕行动。</w:t>
            </w:r>
            <w:r>
              <w:rPr>
                <w:rFonts w:hint="eastAsia" w:ascii="方正仿宋_GB2312" w:hAnsi="方正仿宋_GB2312" w:eastAsia="方正仿宋_GB2312" w:cs="方正仿宋_GB2312"/>
                <w:sz w:val="24"/>
                <w:szCs w:val="24"/>
                <w:lang w:eastAsia="zh-CN" w:bidi="ar"/>
              </w:rPr>
              <w:t>基层</w:t>
            </w:r>
            <w:r>
              <w:rPr>
                <w:rFonts w:ascii="方正仿宋_GB2312" w:hAnsi="方正仿宋_GB2312" w:eastAsia="方正仿宋_GB2312" w:cs="方正仿宋_GB2312"/>
                <w:sz w:val="24"/>
                <w:szCs w:val="24"/>
                <w:lang w:eastAsia="zh-CN" w:bidi="ar"/>
              </w:rPr>
              <w:t>网格</w:t>
            </w:r>
            <w:r>
              <w:rPr>
                <w:rFonts w:hint="eastAsia" w:ascii="方正仿宋_GB2312" w:hAnsi="方正仿宋_GB2312" w:eastAsia="方正仿宋_GB2312" w:cs="方正仿宋_GB2312"/>
                <w:sz w:val="24"/>
                <w:szCs w:val="24"/>
                <w:lang w:eastAsia="zh-CN" w:bidi="ar"/>
              </w:rPr>
              <w:t>员</w:t>
            </w:r>
            <w:r>
              <w:rPr>
                <w:rFonts w:ascii="方正仿宋_GB2312" w:hAnsi="方正仿宋_GB2312" w:eastAsia="方正仿宋_GB2312" w:cs="方正仿宋_GB2312"/>
                <w:sz w:val="24"/>
                <w:szCs w:val="24"/>
                <w:lang w:eastAsia="zh-CN" w:bidi="ar"/>
              </w:rPr>
              <w:t>负责日常巡查，动态掌握所管辖范围内耕地保护利用情况，对耕地“非农化”“非粮化”和抛荒等行为进行劝诫，对农田设施进行日常管护。</w:t>
            </w:r>
          </w:p>
        </w:tc>
        <w:tc>
          <w:tcPr>
            <w:tcW w:w="1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AF0668">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w:t>
            </w:r>
            <w:r>
              <w:rPr>
                <w:rFonts w:hint="eastAsia" w:ascii="方正仿宋_GB2312" w:hAnsi="方正仿宋_GB2312" w:eastAsia="方正仿宋_GB2312" w:cs="方正仿宋_GB2312"/>
                <w:sz w:val="24"/>
                <w:szCs w:val="24"/>
                <w:lang w:eastAsia="zh-CN" w:bidi="ar"/>
              </w:rPr>
              <w:t>党委、</w:t>
            </w:r>
            <w:r>
              <w:rPr>
                <w:rFonts w:ascii="方正仿宋_GB2312" w:hAnsi="方正仿宋_GB2312" w:eastAsia="方正仿宋_GB2312" w:cs="方正仿宋_GB2312"/>
                <w:sz w:val="24"/>
                <w:szCs w:val="24"/>
                <w:lang w:eastAsia="zh-CN" w:bidi="ar"/>
              </w:rPr>
              <w:t>人民政府，市自然资源规划局</w:t>
            </w:r>
          </w:p>
        </w:tc>
        <w:tc>
          <w:tcPr>
            <w:tcW w:w="224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958041">
            <w:pPr>
              <w:kinsoku/>
              <w:jc w:val="both"/>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市农业农村局</w:t>
            </w:r>
          </w:p>
        </w:tc>
      </w:tr>
      <w:tr w14:paraId="0D6FC3B9">
        <w:tblPrEx>
          <w:tblCellMar>
            <w:top w:w="0" w:type="dxa"/>
            <w:left w:w="108" w:type="dxa"/>
            <w:bottom w:w="0" w:type="dxa"/>
            <w:right w:w="108" w:type="dxa"/>
          </w:tblCellMar>
        </w:tblPrEx>
        <w:trPr>
          <w:trHeight w:val="531" w:hRule="atLeast"/>
        </w:trPr>
        <w:tc>
          <w:tcPr>
            <w:tcW w:w="14061" w:type="dxa"/>
            <w:gridSpan w:val="5"/>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7A8C94">
            <w:pPr>
              <w:kinsoku/>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b/>
                <w:bCs/>
                <w:sz w:val="24"/>
                <w:szCs w:val="24"/>
                <w:lang w:eastAsia="zh-CN" w:bidi="ar"/>
              </w:rPr>
              <w:t>七、保障机制</w:t>
            </w:r>
          </w:p>
        </w:tc>
      </w:tr>
      <w:tr w14:paraId="42970452">
        <w:tblPrEx>
          <w:tblCellMar>
            <w:top w:w="0" w:type="dxa"/>
            <w:left w:w="108" w:type="dxa"/>
            <w:bottom w:w="0" w:type="dxa"/>
            <w:right w:w="108" w:type="dxa"/>
          </w:tblCellMar>
        </w:tblPrEx>
        <w:trPr>
          <w:trHeight w:val="3627"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B45302">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23</w:t>
            </w:r>
          </w:p>
        </w:tc>
        <w:tc>
          <w:tcPr>
            <w:tcW w:w="12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E137CD">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建立健全工作协调机制</w:t>
            </w:r>
          </w:p>
        </w:tc>
        <w:tc>
          <w:tcPr>
            <w:tcW w:w="79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267AEA">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32.建立党委领导、政府负责、部门协同、公众参与、上下联动的耕地保护共同责任机制，实现从源头严控、过程严管、后果严惩，确保完成耕地保护责任目标。各级党委、政府要成立本级耕地保护工作专班，每半年一次听取耕地保护工作汇报，召开耕地保护专题会议，督促班子成员和相关部门落实工作责任，确保在制度、人员安排、资源配置、体系构建、监督考核、目标任务落实到位，建立完善调度和督导机制，及时掌握耕地保护发现问题，统筹推进耕地保护工作，研究解决耕地保护存在的问题。</w:t>
            </w:r>
          </w:p>
        </w:tc>
        <w:tc>
          <w:tcPr>
            <w:tcW w:w="191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46577B">
            <w:pPr>
              <w:kinsoku/>
              <w:jc w:val="both"/>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县(市、区)</w:t>
            </w:r>
            <w:r>
              <w:rPr>
                <w:rFonts w:hint="eastAsia" w:ascii="方正仿宋_GB2312" w:hAnsi="方正仿宋_GB2312" w:eastAsia="方正仿宋_GB2312" w:cs="方正仿宋_GB2312"/>
                <w:sz w:val="24"/>
                <w:szCs w:val="24"/>
                <w:lang w:eastAsia="zh-CN" w:bidi="ar"/>
              </w:rPr>
              <w:t>党委、</w:t>
            </w:r>
            <w:r>
              <w:rPr>
                <w:rFonts w:ascii="方正仿宋_GB2312" w:hAnsi="方正仿宋_GB2312" w:eastAsia="方正仿宋_GB2312" w:cs="方正仿宋_GB2312"/>
                <w:sz w:val="24"/>
                <w:szCs w:val="24"/>
                <w:lang w:eastAsia="zh-CN" w:bidi="ar"/>
              </w:rPr>
              <w:t>人民政府</w:t>
            </w:r>
          </w:p>
        </w:tc>
        <w:tc>
          <w:tcPr>
            <w:tcW w:w="224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970491">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市发改委、市财政局、市自然资源规划局、市农业农村局、市林业局、市生态环境局、市水利局、市交通局、市工信局、市文旅局</w:t>
            </w:r>
            <w:r>
              <w:rPr>
                <w:rFonts w:hint="eastAsia" w:ascii="方正仿宋_GB2312" w:hAnsi="方正仿宋_GB2312" w:eastAsia="方正仿宋_GB2312" w:cs="方正仿宋_GB2312"/>
                <w:sz w:val="24"/>
                <w:szCs w:val="24"/>
                <w:lang w:eastAsia="zh-CN" w:bidi="ar"/>
              </w:rPr>
              <w:t>、</w:t>
            </w:r>
            <w:r>
              <w:rPr>
                <w:rFonts w:ascii="方正仿宋_GB2312" w:hAnsi="方正仿宋_GB2312" w:eastAsia="方正仿宋_GB2312" w:cs="方正仿宋_GB2312"/>
                <w:sz w:val="24"/>
                <w:szCs w:val="24"/>
                <w:lang w:eastAsia="zh-CN" w:bidi="ar"/>
              </w:rPr>
              <w:t>市公路事业发展中心</w:t>
            </w:r>
          </w:p>
        </w:tc>
      </w:tr>
    </w:tbl>
    <w:p w14:paraId="368D88DE">
      <w:pPr>
        <w:kinsoku/>
        <w:rPr>
          <w:lang w:eastAsia="zh-CN"/>
        </w:rPr>
      </w:pPr>
      <w:r>
        <w:rPr>
          <w:lang w:eastAsia="zh-CN"/>
        </w:rPr>
        <w:br w:type="page"/>
      </w:r>
    </w:p>
    <w:tbl>
      <w:tblPr>
        <w:tblStyle w:val="9"/>
        <w:tblW w:w="4960" w:type="pct"/>
        <w:tblInd w:w="0" w:type="dxa"/>
        <w:tblLayout w:type="autofit"/>
        <w:tblCellMar>
          <w:top w:w="0" w:type="dxa"/>
          <w:left w:w="108" w:type="dxa"/>
          <w:bottom w:w="0" w:type="dxa"/>
          <w:right w:w="108" w:type="dxa"/>
        </w:tblCellMar>
      </w:tblPr>
      <w:tblGrid>
        <w:gridCol w:w="756"/>
        <w:gridCol w:w="1312"/>
        <w:gridCol w:w="8379"/>
        <w:gridCol w:w="1886"/>
        <w:gridCol w:w="1728"/>
      </w:tblGrid>
      <w:tr w14:paraId="6686D401">
        <w:tblPrEx>
          <w:tblCellMar>
            <w:top w:w="0" w:type="dxa"/>
            <w:left w:w="108" w:type="dxa"/>
            <w:bottom w:w="0" w:type="dxa"/>
            <w:right w:w="108" w:type="dxa"/>
          </w:tblCellMar>
        </w:tblPrEx>
        <w:trPr>
          <w:trHeight w:val="510" w:hRule="atLeast"/>
          <w:tblHeader/>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C886A3">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序号</w:t>
            </w:r>
          </w:p>
        </w:tc>
        <w:tc>
          <w:tcPr>
            <w:tcW w:w="131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E1FAD3">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主要任务</w:t>
            </w:r>
          </w:p>
        </w:tc>
        <w:tc>
          <w:tcPr>
            <w:tcW w:w="837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6041CE">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工作举措</w:t>
            </w:r>
          </w:p>
        </w:tc>
        <w:tc>
          <w:tcPr>
            <w:tcW w:w="188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C92472">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责任单位</w:t>
            </w:r>
          </w:p>
        </w:tc>
        <w:tc>
          <w:tcPr>
            <w:tcW w:w="172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88147E">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配合单位</w:t>
            </w:r>
          </w:p>
        </w:tc>
      </w:tr>
      <w:tr w14:paraId="7615B4AE">
        <w:tblPrEx>
          <w:tblCellMar>
            <w:top w:w="0" w:type="dxa"/>
            <w:left w:w="108" w:type="dxa"/>
            <w:bottom w:w="0" w:type="dxa"/>
            <w:right w:w="108" w:type="dxa"/>
          </w:tblCellMar>
        </w:tblPrEx>
        <w:trPr>
          <w:trHeight w:val="1683"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8006F9">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24</w:t>
            </w:r>
          </w:p>
        </w:tc>
        <w:tc>
          <w:tcPr>
            <w:tcW w:w="131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986BC8">
            <w:pPr>
              <w:kinsoku/>
              <w:jc w:val="both"/>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完善考核机制</w:t>
            </w:r>
          </w:p>
        </w:tc>
        <w:tc>
          <w:tcPr>
            <w:tcW w:w="837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6B8BA8">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33.各级党委和政府要严格落实耕地保护和粮食安全责任制考核、高质量发展成效考核方案，将本级耕地保有量、永久基本农田保护任务、耕地占补平衡、违法占用耕地和永久基本农田等纳入考核范围。对未完成分解下达至本级耕地保有量、永久基本农田保护任务、未落实耕地占补平衡，年度内县(市、区)违法占用耕地面积达到80亩以上的，且违法占用耕地面积比例达到12%以上的，在各项考核中实行刚性指标严格考核、一票否决、终身追责。将耕地保护工作纳入巡视巡察、领导干部经济责任审计和自然资源资产离任（任中）审计，相关结果作为考核、任免、奖惩领导干部的重要参考。各县（市、区）要结合自身实际细化制定乡(镇、街道)党委和政府考核机制。</w:t>
            </w:r>
          </w:p>
        </w:tc>
        <w:tc>
          <w:tcPr>
            <w:tcW w:w="188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D9881F">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w:t>
            </w:r>
            <w:r>
              <w:rPr>
                <w:rFonts w:hint="eastAsia" w:ascii="方正仿宋_GB2312" w:hAnsi="方正仿宋_GB2312" w:eastAsia="方正仿宋_GB2312" w:cs="方正仿宋_GB2312"/>
                <w:sz w:val="24"/>
                <w:szCs w:val="24"/>
                <w:lang w:eastAsia="zh-CN" w:bidi="ar"/>
              </w:rPr>
              <w:t>党委、</w:t>
            </w:r>
            <w:r>
              <w:rPr>
                <w:rFonts w:ascii="方正仿宋_GB2312" w:hAnsi="方正仿宋_GB2312" w:eastAsia="方正仿宋_GB2312" w:cs="方正仿宋_GB2312"/>
                <w:sz w:val="24"/>
                <w:szCs w:val="24"/>
                <w:lang w:eastAsia="zh-CN" w:bidi="ar"/>
              </w:rPr>
              <w:t>人民政府，市自然资源规划局、市农业农村局</w:t>
            </w:r>
          </w:p>
        </w:tc>
        <w:tc>
          <w:tcPr>
            <w:tcW w:w="172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47C9CD">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市审计局、市发改委、市水利局、市林业局</w:t>
            </w:r>
          </w:p>
        </w:tc>
      </w:tr>
      <w:tr w14:paraId="624005C0">
        <w:tblPrEx>
          <w:tblCellMar>
            <w:top w:w="0" w:type="dxa"/>
            <w:left w:w="108" w:type="dxa"/>
            <w:bottom w:w="0" w:type="dxa"/>
            <w:right w:w="108" w:type="dxa"/>
          </w:tblCellMar>
        </w:tblPrEx>
        <w:trPr>
          <w:trHeight w:val="4283"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C1771D">
            <w:pPr>
              <w:kinsoku/>
              <w:jc w:val="center"/>
              <w:textAlignment w:val="center"/>
              <w:rPr>
                <w:rFonts w:hint="eastAsia" w:ascii="方正仿宋_GB2312" w:hAnsi="方正仿宋_GB2312" w:eastAsia="方正仿宋_GB2312" w:cs="方正仿宋_GB2312"/>
                <w:color w:val="auto"/>
                <w:sz w:val="24"/>
                <w:szCs w:val="24"/>
              </w:rPr>
            </w:pPr>
            <w:r>
              <w:rPr>
                <w:rFonts w:ascii="方正仿宋_GB2312" w:hAnsi="方正仿宋_GB2312" w:eastAsia="方正仿宋_GB2312" w:cs="方正仿宋_GB2312"/>
                <w:color w:val="auto"/>
                <w:sz w:val="24"/>
                <w:szCs w:val="24"/>
                <w:lang w:eastAsia="zh-CN" w:bidi="ar"/>
              </w:rPr>
              <w:t>25</w:t>
            </w:r>
          </w:p>
        </w:tc>
        <w:tc>
          <w:tcPr>
            <w:tcW w:w="131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036FC5">
            <w:pPr>
              <w:kinsoku/>
              <w:jc w:val="both"/>
              <w:textAlignment w:val="center"/>
              <w:rPr>
                <w:rFonts w:hint="eastAsia" w:ascii="方正仿宋_GB2312" w:hAnsi="方正仿宋_GB2312" w:eastAsia="方正仿宋_GB2312" w:cs="方正仿宋_GB2312"/>
                <w:color w:val="auto"/>
                <w:sz w:val="24"/>
                <w:szCs w:val="24"/>
                <w:lang w:eastAsia="zh-CN"/>
              </w:rPr>
            </w:pPr>
            <w:r>
              <w:rPr>
                <w:rFonts w:ascii="方正仿宋_GB2312" w:hAnsi="方正仿宋_GB2312" w:eastAsia="方正仿宋_GB2312" w:cs="方正仿宋_GB2312"/>
                <w:color w:val="auto"/>
                <w:sz w:val="24"/>
                <w:szCs w:val="24"/>
                <w:lang w:eastAsia="zh-CN" w:bidi="ar"/>
              </w:rPr>
              <w:t>建立</w:t>
            </w:r>
            <w:r>
              <w:rPr>
                <w:rFonts w:hint="eastAsia" w:ascii="方正仿宋_GB2312" w:hAnsi="方正仿宋_GB2312" w:eastAsia="方正仿宋_GB2312" w:cs="方正仿宋_GB2312"/>
                <w:color w:val="auto"/>
                <w:sz w:val="24"/>
                <w:szCs w:val="24"/>
                <w:lang w:eastAsia="zh-CN" w:bidi="ar"/>
              </w:rPr>
              <w:t>警示</w:t>
            </w:r>
            <w:r>
              <w:rPr>
                <w:rFonts w:ascii="方正仿宋_GB2312" w:hAnsi="方正仿宋_GB2312" w:eastAsia="方正仿宋_GB2312" w:cs="方正仿宋_GB2312"/>
                <w:color w:val="auto"/>
                <w:sz w:val="24"/>
                <w:szCs w:val="24"/>
                <w:lang w:eastAsia="zh-CN" w:bidi="ar"/>
              </w:rPr>
              <w:t>约谈</w:t>
            </w:r>
            <w:r>
              <w:rPr>
                <w:rFonts w:hint="eastAsia" w:ascii="方正仿宋_GB2312" w:hAnsi="方正仿宋_GB2312" w:eastAsia="方正仿宋_GB2312" w:cs="方正仿宋_GB2312"/>
                <w:color w:val="auto"/>
                <w:sz w:val="24"/>
                <w:szCs w:val="24"/>
                <w:lang w:eastAsia="zh-CN" w:bidi="ar"/>
              </w:rPr>
              <w:t>、线索移送、</w:t>
            </w:r>
            <w:r>
              <w:rPr>
                <w:rFonts w:ascii="方正仿宋_GB2312" w:hAnsi="方正仿宋_GB2312" w:eastAsia="方正仿宋_GB2312" w:cs="方正仿宋_GB2312"/>
                <w:color w:val="auto"/>
                <w:sz w:val="24"/>
                <w:szCs w:val="24"/>
                <w:lang w:eastAsia="zh-CN" w:bidi="ar"/>
              </w:rPr>
              <w:t>追责问责制度</w:t>
            </w:r>
          </w:p>
        </w:tc>
        <w:tc>
          <w:tcPr>
            <w:tcW w:w="837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E3C968">
            <w:pPr>
              <w:kinsoku/>
              <w:jc w:val="both"/>
              <w:textAlignment w:val="center"/>
              <w:rPr>
                <w:rFonts w:hint="eastAsia" w:ascii="方正仿宋_GB2312" w:hAnsi="方正仿宋_GB2312" w:eastAsia="方正仿宋_GB2312" w:cs="方正仿宋_GB2312"/>
                <w:color w:val="auto"/>
                <w:sz w:val="24"/>
                <w:szCs w:val="24"/>
                <w:lang w:eastAsia="zh-CN"/>
              </w:rPr>
            </w:pPr>
            <w:r>
              <w:rPr>
                <w:rFonts w:ascii="方正仿宋_GB2312" w:hAnsi="方正仿宋_GB2312" w:eastAsia="方正仿宋_GB2312" w:cs="方正仿宋_GB2312"/>
                <w:color w:val="auto"/>
                <w:sz w:val="24"/>
                <w:szCs w:val="24"/>
                <w:lang w:eastAsia="zh-CN" w:bidi="ar"/>
              </w:rPr>
              <w:t>34.以严的态度、严的标准、严的措施倒逼耕地保护责任落实到位。对耕地保护问题较突出的地方和相关部门负责同志存在以下情形进行警示：县（市、区）违法占用耕地面积首次超过10亩，违法占用永久基本农田面积首次超过5亩，给予一般警示；对连续两次被一般警示或累积违法占用耕地面积超过20亩或违法占用永久基本农田面积超过10亩给予重点警示。对存违法占用耕地和永久基本农田问题突出、屡禁不止、管理秩序混乱的地方，约谈其党政负责人并责令整改。对连续两次重点警示或约谈后违法问题仍然严重的，或辖区内存在违法占用耕地建设造成严重后果的，进行追责问责。对累计三次以上重点警示或约谈后由市委、市政府对违法主体县（市、区）</w:t>
            </w:r>
            <w:r>
              <w:rPr>
                <w:rFonts w:hint="eastAsia" w:ascii="方正仿宋_GB2312" w:hAnsi="方正仿宋_GB2312" w:eastAsia="方正仿宋_GB2312" w:cs="方正仿宋_GB2312"/>
                <w:color w:val="auto"/>
                <w:sz w:val="24"/>
                <w:szCs w:val="24"/>
                <w:lang w:eastAsia="zh-CN" w:bidi="ar"/>
              </w:rPr>
              <w:t>党委、</w:t>
            </w:r>
            <w:r>
              <w:rPr>
                <w:rFonts w:ascii="方正仿宋_GB2312" w:hAnsi="方正仿宋_GB2312" w:eastAsia="方正仿宋_GB2312" w:cs="方正仿宋_GB2312"/>
                <w:color w:val="auto"/>
                <w:sz w:val="24"/>
                <w:szCs w:val="24"/>
                <w:lang w:eastAsia="zh-CN" w:bidi="ar"/>
              </w:rPr>
              <w:t>政府和责任人依纪依法给予处理。被重点警示、约谈、追责问责涉及问题整改期间，暂停除民生、市级及以上重大建设项目以外的农用地转用和土地征收审批。各县（市、区）要结合实际细化制定乡(镇、街道)党委和政府约谈追责问责制度。</w:t>
            </w:r>
          </w:p>
        </w:tc>
        <w:tc>
          <w:tcPr>
            <w:tcW w:w="188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B289C0">
            <w:pPr>
              <w:kinsoku/>
              <w:jc w:val="both"/>
              <w:textAlignment w:val="center"/>
              <w:rPr>
                <w:rFonts w:hint="eastAsia" w:ascii="方正仿宋_GB2312" w:hAnsi="方正仿宋_GB2312" w:eastAsia="方正仿宋_GB2312" w:cs="方正仿宋_GB2312"/>
                <w:color w:val="auto"/>
                <w:sz w:val="24"/>
                <w:szCs w:val="24"/>
                <w:lang w:eastAsia="zh-CN"/>
              </w:rPr>
            </w:pPr>
            <w:r>
              <w:rPr>
                <w:rFonts w:ascii="方正仿宋_GB2312" w:hAnsi="方正仿宋_GB2312" w:eastAsia="方正仿宋_GB2312" w:cs="方正仿宋_GB2312"/>
                <w:color w:val="auto"/>
                <w:sz w:val="24"/>
                <w:szCs w:val="24"/>
                <w:lang w:eastAsia="zh-CN" w:bidi="ar"/>
              </w:rPr>
              <w:t>市自然资源规划局、市农业农村局</w:t>
            </w:r>
          </w:p>
        </w:tc>
        <w:tc>
          <w:tcPr>
            <w:tcW w:w="172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5B650B">
            <w:pPr>
              <w:kinsoku/>
              <w:jc w:val="both"/>
              <w:textAlignment w:val="center"/>
              <w:rPr>
                <w:rFonts w:hint="eastAsia" w:ascii="方正仿宋_GB2312" w:hAnsi="方正仿宋_GB2312" w:eastAsia="方正仿宋_GB2312" w:cs="方正仿宋_GB2312"/>
                <w:color w:val="auto"/>
                <w:sz w:val="24"/>
                <w:szCs w:val="24"/>
                <w:lang w:eastAsia="zh-CN"/>
              </w:rPr>
            </w:pPr>
            <w:r>
              <w:rPr>
                <w:rFonts w:ascii="方正仿宋_GB2312" w:hAnsi="方正仿宋_GB2312" w:eastAsia="方正仿宋_GB2312" w:cs="方正仿宋_GB2312"/>
                <w:color w:val="auto"/>
                <w:sz w:val="24"/>
                <w:szCs w:val="24"/>
                <w:lang w:eastAsia="zh-CN" w:bidi="ar"/>
              </w:rPr>
              <w:t>县（市、区）</w:t>
            </w:r>
            <w:r>
              <w:rPr>
                <w:rFonts w:hint="eastAsia" w:ascii="方正仿宋_GB2312" w:hAnsi="方正仿宋_GB2312" w:eastAsia="方正仿宋_GB2312" w:cs="方正仿宋_GB2312"/>
                <w:color w:val="auto"/>
                <w:sz w:val="24"/>
                <w:szCs w:val="24"/>
                <w:lang w:eastAsia="zh-CN" w:bidi="ar"/>
              </w:rPr>
              <w:t>党委、</w:t>
            </w:r>
            <w:r>
              <w:rPr>
                <w:rFonts w:ascii="方正仿宋_GB2312" w:hAnsi="方正仿宋_GB2312" w:eastAsia="方正仿宋_GB2312" w:cs="方正仿宋_GB2312"/>
                <w:color w:val="auto"/>
                <w:sz w:val="24"/>
                <w:szCs w:val="24"/>
                <w:lang w:eastAsia="zh-CN" w:bidi="ar"/>
              </w:rPr>
              <w:t>人民政府</w:t>
            </w:r>
          </w:p>
        </w:tc>
      </w:tr>
      <w:tr w14:paraId="5F581454">
        <w:tblPrEx>
          <w:tblCellMar>
            <w:top w:w="0" w:type="dxa"/>
            <w:left w:w="108" w:type="dxa"/>
            <w:bottom w:w="0" w:type="dxa"/>
            <w:right w:w="108" w:type="dxa"/>
          </w:tblCellMar>
        </w:tblPrEx>
        <w:trPr>
          <w:trHeight w:val="3256" w:hRule="atLeast"/>
        </w:trPr>
        <w:tc>
          <w:tcPr>
            <w:tcW w:w="756" w:type="dxa"/>
            <w:tcBorders>
              <w:top w:val="single" w:color="000000" w:sz="8" w:space="0"/>
              <w:left w:val="single" w:color="000000" w:sz="8" w:space="0"/>
              <w:right w:val="single" w:color="000000" w:sz="8" w:space="0"/>
            </w:tcBorders>
            <w:shd w:val="clear" w:color="auto" w:fill="auto"/>
            <w:vAlign w:val="center"/>
          </w:tcPr>
          <w:p w14:paraId="4D297DC7">
            <w:pPr>
              <w:kinsoku/>
              <w:jc w:val="center"/>
              <w:textAlignment w:val="center"/>
              <w:rPr>
                <w:rFonts w:hint="eastAsia" w:ascii="方正仿宋_GB2312" w:hAnsi="方正仿宋_GB2312" w:eastAsia="方正仿宋_GB2312" w:cs="方正仿宋_GB2312"/>
                <w:color w:val="auto"/>
                <w:sz w:val="24"/>
                <w:szCs w:val="24"/>
                <w:lang w:eastAsia="zh-CN" w:bidi="ar"/>
              </w:rPr>
            </w:pPr>
            <w:r>
              <w:rPr>
                <w:rFonts w:ascii="方正仿宋_GB2312" w:hAnsi="方正仿宋_GB2312" w:eastAsia="方正仿宋_GB2312" w:cs="方正仿宋_GB2312"/>
                <w:color w:val="auto"/>
                <w:sz w:val="24"/>
                <w:szCs w:val="24"/>
                <w:lang w:eastAsia="zh-CN" w:bidi="ar"/>
              </w:rPr>
              <w:t>25</w:t>
            </w:r>
          </w:p>
        </w:tc>
        <w:tc>
          <w:tcPr>
            <w:tcW w:w="1312" w:type="dxa"/>
            <w:tcBorders>
              <w:top w:val="single" w:color="000000" w:sz="8" w:space="0"/>
              <w:left w:val="single" w:color="000000" w:sz="8" w:space="0"/>
              <w:right w:val="single" w:color="000000" w:sz="8" w:space="0"/>
            </w:tcBorders>
            <w:shd w:val="clear" w:color="auto" w:fill="auto"/>
            <w:vAlign w:val="center"/>
          </w:tcPr>
          <w:p w14:paraId="4BCB0BC4">
            <w:pPr>
              <w:kinsoku/>
              <w:jc w:val="center"/>
              <w:textAlignment w:val="center"/>
              <w:rPr>
                <w:rFonts w:hint="eastAsia" w:ascii="方正仿宋_GB2312" w:hAnsi="方正仿宋_GB2312" w:eastAsia="方正仿宋_GB2312" w:cs="方正仿宋_GB2312"/>
                <w:color w:val="auto"/>
                <w:sz w:val="24"/>
                <w:szCs w:val="24"/>
                <w:lang w:eastAsia="zh-CN" w:bidi="ar"/>
              </w:rPr>
            </w:pPr>
            <w:r>
              <w:rPr>
                <w:rFonts w:ascii="方正仿宋_GB2312" w:hAnsi="方正仿宋_GB2312" w:eastAsia="方正仿宋_GB2312" w:cs="方正仿宋_GB2312"/>
                <w:color w:val="auto"/>
                <w:sz w:val="24"/>
                <w:szCs w:val="24"/>
                <w:lang w:eastAsia="zh-CN" w:bidi="ar"/>
              </w:rPr>
              <w:t>建立</w:t>
            </w:r>
            <w:r>
              <w:rPr>
                <w:rFonts w:hint="eastAsia" w:ascii="方正仿宋_GB2312" w:hAnsi="方正仿宋_GB2312" w:eastAsia="方正仿宋_GB2312" w:cs="方正仿宋_GB2312"/>
                <w:color w:val="auto"/>
                <w:sz w:val="24"/>
                <w:szCs w:val="24"/>
                <w:lang w:eastAsia="zh-CN" w:bidi="ar"/>
              </w:rPr>
              <w:t>警示</w:t>
            </w:r>
            <w:r>
              <w:rPr>
                <w:rFonts w:ascii="方正仿宋_GB2312" w:hAnsi="方正仿宋_GB2312" w:eastAsia="方正仿宋_GB2312" w:cs="方正仿宋_GB2312"/>
                <w:color w:val="auto"/>
                <w:sz w:val="24"/>
                <w:szCs w:val="24"/>
                <w:lang w:eastAsia="zh-CN" w:bidi="ar"/>
              </w:rPr>
              <w:t>约谈</w:t>
            </w:r>
            <w:r>
              <w:rPr>
                <w:rFonts w:hint="eastAsia" w:ascii="方正仿宋_GB2312" w:hAnsi="方正仿宋_GB2312" w:eastAsia="方正仿宋_GB2312" w:cs="方正仿宋_GB2312"/>
                <w:color w:val="auto"/>
                <w:sz w:val="24"/>
                <w:szCs w:val="24"/>
                <w:lang w:eastAsia="zh-CN" w:bidi="ar"/>
              </w:rPr>
              <w:t>、线索移送、</w:t>
            </w:r>
            <w:r>
              <w:rPr>
                <w:rFonts w:ascii="方正仿宋_GB2312" w:hAnsi="方正仿宋_GB2312" w:eastAsia="方正仿宋_GB2312" w:cs="方正仿宋_GB2312"/>
                <w:color w:val="auto"/>
                <w:sz w:val="24"/>
                <w:szCs w:val="24"/>
                <w:lang w:eastAsia="zh-CN" w:bidi="ar"/>
              </w:rPr>
              <w:t>追责问责制度</w:t>
            </w:r>
          </w:p>
        </w:tc>
        <w:tc>
          <w:tcPr>
            <w:tcW w:w="837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8F3B30">
            <w:pPr>
              <w:kinsoku/>
              <w:jc w:val="both"/>
              <w:textAlignment w:val="center"/>
              <w:rPr>
                <w:rFonts w:hint="eastAsia" w:ascii="方正仿宋_GB2312" w:hAnsi="方正仿宋_GB2312" w:eastAsia="方正仿宋_GB2312" w:cs="方正仿宋_GB2312"/>
                <w:color w:val="auto"/>
                <w:sz w:val="24"/>
                <w:szCs w:val="24"/>
                <w:lang w:eastAsia="zh-CN" w:bidi="ar"/>
              </w:rPr>
            </w:pPr>
            <w:r>
              <w:rPr>
                <w:rFonts w:ascii="方正仿宋_GB2312" w:hAnsi="方正仿宋_GB2312" w:eastAsia="方正仿宋_GB2312" w:cs="方正仿宋_GB2312"/>
                <w:color w:val="auto"/>
                <w:sz w:val="24"/>
                <w:szCs w:val="24"/>
                <w:lang w:eastAsia="zh-CN" w:bidi="ar"/>
              </w:rPr>
              <w:t>35.实行终身追责，严肃查处耕地保护领域有案不查、有案不移、大案小查、瞒案不报、玩忽职守、弄虚作假等违规违纪违法问题，以及背后的作风、责任、腐败问题。自然资源主管部门、公安机关、检察机关等单位在查办相关案件过程中，发现各类违法违规占用耕地问题涉及的责任单位和责任人，存在履职不力、失职渎职、以权谋私等违纪违法、职务犯罪问题，应及时移送纪检监察机关。</w:t>
            </w:r>
          </w:p>
        </w:tc>
        <w:tc>
          <w:tcPr>
            <w:tcW w:w="1886" w:type="dxa"/>
            <w:tcBorders>
              <w:top w:val="single" w:color="000000" w:sz="8" w:space="0"/>
              <w:left w:val="single" w:color="000000" w:sz="8" w:space="0"/>
              <w:right w:val="single" w:color="000000" w:sz="8" w:space="0"/>
            </w:tcBorders>
            <w:shd w:val="clear" w:color="auto" w:fill="auto"/>
            <w:vAlign w:val="center"/>
          </w:tcPr>
          <w:p w14:paraId="5CDE8A3C">
            <w:pPr>
              <w:kinsoku/>
              <w:jc w:val="both"/>
              <w:textAlignment w:val="center"/>
              <w:rPr>
                <w:rFonts w:hint="eastAsia" w:ascii="方正仿宋_GB2312" w:hAnsi="方正仿宋_GB2312" w:eastAsia="方正仿宋_GB2312" w:cs="方正仿宋_GB2312"/>
                <w:color w:val="auto"/>
                <w:sz w:val="24"/>
                <w:szCs w:val="24"/>
                <w:lang w:eastAsia="zh-CN" w:bidi="ar"/>
              </w:rPr>
            </w:pPr>
            <w:r>
              <w:rPr>
                <w:rFonts w:ascii="方正仿宋_GB2312" w:hAnsi="方正仿宋_GB2312" w:eastAsia="方正仿宋_GB2312" w:cs="方正仿宋_GB2312"/>
                <w:color w:val="auto"/>
                <w:sz w:val="24"/>
                <w:szCs w:val="24"/>
                <w:lang w:eastAsia="zh-CN" w:bidi="ar"/>
              </w:rPr>
              <w:t>市自然资源规划局、市纪委市监委</w:t>
            </w:r>
            <w:r>
              <w:rPr>
                <w:rFonts w:hint="eastAsia" w:ascii="方正仿宋_GB2312" w:hAnsi="方正仿宋_GB2312" w:eastAsia="方正仿宋_GB2312" w:cs="方正仿宋_GB2312"/>
                <w:color w:val="auto"/>
                <w:sz w:val="24"/>
                <w:szCs w:val="24"/>
                <w:lang w:eastAsia="zh-CN" w:bidi="ar"/>
              </w:rPr>
              <w:t>、</w:t>
            </w:r>
            <w:r>
              <w:rPr>
                <w:rFonts w:ascii="方正仿宋_GB2312" w:hAnsi="方正仿宋_GB2312" w:eastAsia="方正仿宋_GB2312" w:cs="方正仿宋_GB2312"/>
                <w:color w:val="auto"/>
                <w:sz w:val="24"/>
                <w:szCs w:val="24"/>
                <w:lang w:eastAsia="zh-CN" w:bidi="ar"/>
              </w:rPr>
              <w:t>市公安局、</w:t>
            </w:r>
            <w:r>
              <w:rPr>
                <w:rFonts w:hint="eastAsia" w:ascii="方正仿宋_GB2312" w:hAnsi="方正仿宋_GB2312" w:eastAsia="方正仿宋_GB2312" w:cs="方正仿宋_GB2312"/>
                <w:color w:val="auto"/>
                <w:sz w:val="24"/>
                <w:szCs w:val="24"/>
                <w:lang w:eastAsia="zh-CN" w:bidi="ar"/>
              </w:rPr>
              <w:t>市检察院、</w:t>
            </w:r>
            <w:r>
              <w:rPr>
                <w:rFonts w:ascii="方正仿宋_GB2312" w:hAnsi="方正仿宋_GB2312" w:eastAsia="方正仿宋_GB2312" w:cs="方正仿宋_GB2312"/>
                <w:color w:val="auto"/>
                <w:sz w:val="24"/>
                <w:szCs w:val="24"/>
                <w:lang w:eastAsia="zh-CN" w:bidi="ar"/>
              </w:rPr>
              <w:t>市农业农村局</w:t>
            </w:r>
          </w:p>
        </w:tc>
        <w:tc>
          <w:tcPr>
            <w:tcW w:w="1728" w:type="dxa"/>
            <w:tcBorders>
              <w:top w:val="single" w:color="000000" w:sz="8" w:space="0"/>
              <w:left w:val="single" w:color="000000" w:sz="8" w:space="0"/>
              <w:right w:val="single" w:color="000000" w:sz="8" w:space="0"/>
            </w:tcBorders>
            <w:shd w:val="clear" w:color="auto" w:fill="auto"/>
            <w:vAlign w:val="center"/>
          </w:tcPr>
          <w:p w14:paraId="606A0BEB">
            <w:pPr>
              <w:kinsoku/>
              <w:jc w:val="both"/>
              <w:textAlignment w:val="center"/>
              <w:rPr>
                <w:rFonts w:hint="eastAsia" w:ascii="方正仿宋_GB2312" w:hAnsi="方正仿宋_GB2312" w:eastAsia="方正仿宋_GB2312" w:cs="方正仿宋_GB2312"/>
                <w:color w:val="auto"/>
                <w:sz w:val="24"/>
                <w:szCs w:val="24"/>
                <w:lang w:eastAsia="zh-CN" w:bidi="ar"/>
              </w:rPr>
            </w:pPr>
            <w:r>
              <w:rPr>
                <w:rFonts w:ascii="方正仿宋_GB2312" w:hAnsi="方正仿宋_GB2312" w:eastAsia="方正仿宋_GB2312" w:cs="方正仿宋_GB2312"/>
                <w:color w:val="auto"/>
                <w:sz w:val="24"/>
                <w:szCs w:val="24"/>
                <w:lang w:eastAsia="zh-CN" w:bidi="ar"/>
              </w:rPr>
              <w:t>县（市、区）</w:t>
            </w:r>
            <w:r>
              <w:rPr>
                <w:rFonts w:hint="eastAsia" w:ascii="方正仿宋_GB2312" w:hAnsi="方正仿宋_GB2312" w:eastAsia="方正仿宋_GB2312" w:cs="方正仿宋_GB2312"/>
                <w:color w:val="auto"/>
                <w:sz w:val="24"/>
                <w:szCs w:val="24"/>
                <w:lang w:eastAsia="zh-CN" w:bidi="ar"/>
              </w:rPr>
              <w:t>党委、</w:t>
            </w:r>
            <w:r>
              <w:rPr>
                <w:rFonts w:ascii="方正仿宋_GB2312" w:hAnsi="方正仿宋_GB2312" w:eastAsia="方正仿宋_GB2312" w:cs="方正仿宋_GB2312"/>
                <w:color w:val="auto"/>
                <w:sz w:val="24"/>
                <w:szCs w:val="24"/>
                <w:lang w:eastAsia="zh-CN" w:bidi="ar"/>
              </w:rPr>
              <w:t>人民政府</w:t>
            </w:r>
          </w:p>
        </w:tc>
      </w:tr>
      <w:tr w14:paraId="6E1BC603">
        <w:tblPrEx>
          <w:tblCellMar>
            <w:top w:w="0" w:type="dxa"/>
            <w:left w:w="108" w:type="dxa"/>
            <w:bottom w:w="0" w:type="dxa"/>
            <w:right w:w="108" w:type="dxa"/>
          </w:tblCellMar>
        </w:tblPrEx>
        <w:trPr>
          <w:trHeight w:val="3650"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10D22D">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26</w:t>
            </w:r>
          </w:p>
        </w:tc>
        <w:tc>
          <w:tcPr>
            <w:tcW w:w="131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5BE543">
            <w:pPr>
              <w:kinsoku/>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强化耕地保护执法合力</w:t>
            </w:r>
          </w:p>
        </w:tc>
        <w:tc>
          <w:tcPr>
            <w:tcW w:w="837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76F7CF">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3</w:t>
            </w:r>
            <w:r>
              <w:rPr>
                <w:rFonts w:hint="eastAsia" w:ascii="方正仿宋_GB2312" w:hAnsi="方正仿宋_GB2312" w:eastAsia="方正仿宋_GB2312" w:cs="方正仿宋_GB2312"/>
                <w:sz w:val="24"/>
                <w:szCs w:val="24"/>
                <w:lang w:eastAsia="zh-CN" w:bidi="ar"/>
              </w:rPr>
              <w:t>6</w:t>
            </w:r>
            <w:r>
              <w:rPr>
                <w:rFonts w:ascii="方正仿宋_GB2312" w:hAnsi="方正仿宋_GB2312" w:eastAsia="方正仿宋_GB2312" w:cs="方正仿宋_GB2312"/>
                <w:sz w:val="24"/>
                <w:szCs w:val="24"/>
                <w:lang w:eastAsia="zh-CN" w:bidi="ar"/>
              </w:rPr>
              <w:t>.严格执行耕地保护法律法规，完善土地行政执法与检察监督、刑事司法等衔接机制，对违法侵占耕地和永久基本农田符合追究法律责任的应移尽移，强化公益诉讼检察与耕地执法查处协作。加大对纪委、检察院、法院、公安机关、自然资源和规划、生态环境、农业农村等部门协同力度，强化部门间联合、联动执法，坚决遏制乱占耕地建房、侵占耕地挖湖造景、建设“大棚房”、违法占用耕地绿化造林、超标准建设绿色通道、在永久基本农田上挖沙取土严重破坏耕作层等违法占用耕地从事非农业建设行为，保持对违法用地行为“零容忍”的高压态势。进一步夯实市、县两级执法队伍建设。强化自然资源执法技术支撑保障，推动行政执法规范化、标准化、数字化建设。</w:t>
            </w:r>
          </w:p>
        </w:tc>
        <w:tc>
          <w:tcPr>
            <w:tcW w:w="188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0D8A15">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w:t>
            </w:r>
            <w:r>
              <w:rPr>
                <w:rFonts w:hint="eastAsia" w:ascii="方正仿宋_GB2312" w:hAnsi="方正仿宋_GB2312" w:eastAsia="方正仿宋_GB2312" w:cs="方正仿宋_GB2312"/>
                <w:sz w:val="24"/>
                <w:szCs w:val="24"/>
                <w:lang w:eastAsia="zh-CN" w:bidi="ar"/>
              </w:rPr>
              <w:t>党委、</w:t>
            </w:r>
            <w:r>
              <w:rPr>
                <w:rFonts w:ascii="方正仿宋_GB2312" w:hAnsi="方正仿宋_GB2312" w:eastAsia="方正仿宋_GB2312" w:cs="方正仿宋_GB2312"/>
                <w:sz w:val="24"/>
                <w:szCs w:val="24"/>
                <w:lang w:eastAsia="zh-CN" w:bidi="ar"/>
              </w:rPr>
              <w:t>人民政府，市自然资源规划局、市农业农村局</w:t>
            </w:r>
          </w:p>
        </w:tc>
        <w:tc>
          <w:tcPr>
            <w:tcW w:w="172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76FEDB">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市检察院、市法院、市公安局</w:t>
            </w:r>
          </w:p>
        </w:tc>
      </w:tr>
    </w:tbl>
    <w:p w14:paraId="3A88529B">
      <w:pPr>
        <w:kinsoku/>
        <w:rPr>
          <w:lang w:eastAsia="zh-CN"/>
        </w:rPr>
      </w:pPr>
    </w:p>
    <w:p w14:paraId="1AD5E558">
      <w:pPr>
        <w:kinsoku/>
        <w:rPr>
          <w:lang w:eastAsia="zh-CN"/>
        </w:rPr>
      </w:pPr>
      <w:r>
        <w:rPr>
          <w:lang w:eastAsia="zh-CN"/>
        </w:rPr>
        <w:br w:type="page"/>
      </w:r>
    </w:p>
    <w:tbl>
      <w:tblPr>
        <w:tblStyle w:val="9"/>
        <w:tblW w:w="4960" w:type="pct"/>
        <w:tblInd w:w="0" w:type="dxa"/>
        <w:tblLayout w:type="autofit"/>
        <w:tblCellMar>
          <w:top w:w="0" w:type="dxa"/>
          <w:left w:w="108" w:type="dxa"/>
          <w:bottom w:w="0" w:type="dxa"/>
          <w:right w:w="108" w:type="dxa"/>
        </w:tblCellMar>
      </w:tblPr>
      <w:tblGrid>
        <w:gridCol w:w="756"/>
        <w:gridCol w:w="1215"/>
        <w:gridCol w:w="7884"/>
        <w:gridCol w:w="1973"/>
        <w:gridCol w:w="2233"/>
      </w:tblGrid>
      <w:tr w14:paraId="68BAA8EF">
        <w:tblPrEx>
          <w:tblCellMar>
            <w:top w:w="0" w:type="dxa"/>
            <w:left w:w="108" w:type="dxa"/>
            <w:bottom w:w="0" w:type="dxa"/>
            <w:right w:w="108" w:type="dxa"/>
          </w:tblCellMar>
        </w:tblPrEx>
        <w:trPr>
          <w:trHeight w:val="510"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CC1D10">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序号</w:t>
            </w:r>
          </w:p>
        </w:tc>
        <w:tc>
          <w:tcPr>
            <w:tcW w:w="12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83BC37">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主要任务</w:t>
            </w:r>
          </w:p>
        </w:tc>
        <w:tc>
          <w:tcPr>
            <w:tcW w:w="78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D855D0">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工作举措</w:t>
            </w:r>
          </w:p>
        </w:tc>
        <w:tc>
          <w:tcPr>
            <w:tcW w:w="19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60B924">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责任单位</w:t>
            </w:r>
          </w:p>
        </w:tc>
        <w:tc>
          <w:tcPr>
            <w:tcW w:w="22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AB9D35">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配合单位</w:t>
            </w:r>
          </w:p>
        </w:tc>
      </w:tr>
      <w:tr w14:paraId="142CE5A0">
        <w:tblPrEx>
          <w:tblCellMar>
            <w:top w:w="0" w:type="dxa"/>
            <w:left w:w="108" w:type="dxa"/>
            <w:bottom w:w="0" w:type="dxa"/>
            <w:right w:w="108" w:type="dxa"/>
          </w:tblCellMar>
        </w:tblPrEx>
        <w:trPr>
          <w:trHeight w:val="3891"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EFB8E2">
            <w:pPr>
              <w:kinsoku/>
              <w:jc w:val="center"/>
              <w:textAlignment w:val="center"/>
              <w:rPr>
                <w:rFonts w:hint="eastAsia" w:ascii="方正仿宋_GB2312" w:hAnsi="方正仿宋_GB2312" w:eastAsia="方正仿宋_GB2312" w:cs="方正仿宋_GB2312"/>
                <w:sz w:val="24"/>
                <w:szCs w:val="24"/>
                <w:lang w:eastAsia="zh-CN" w:bidi="ar"/>
              </w:rPr>
            </w:pPr>
            <w:r>
              <w:rPr>
                <w:rFonts w:hint="eastAsia" w:ascii="方正仿宋_GB2312" w:hAnsi="方正仿宋_GB2312" w:eastAsia="方正仿宋_GB2312" w:cs="方正仿宋_GB2312"/>
                <w:sz w:val="24"/>
                <w:szCs w:val="24"/>
                <w:lang w:eastAsia="zh-CN" w:bidi="ar"/>
              </w:rPr>
              <w:t>26</w:t>
            </w:r>
          </w:p>
        </w:tc>
        <w:tc>
          <w:tcPr>
            <w:tcW w:w="12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948AB3">
            <w:pPr>
              <w:kinsoku/>
              <w:jc w:val="both"/>
              <w:textAlignment w:val="center"/>
              <w:rPr>
                <w:rFonts w:hint="eastAsia" w:ascii="方正仿宋_GB2312" w:hAnsi="方正仿宋_GB2312" w:eastAsia="方正仿宋_GB2312" w:cs="方正仿宋_GB2312"/>
                <w:sz w:val="24"/>
                <w:szCs w:val="24"/>
                <w:lang w:eastAsia="zh-CN" w:bidi="ar"/>
              </w:rPr>
            </w:pPr>
            <w:r>
              <w:rPr>
                <w:rFonts w:ascii="方正仿宋_GB2312" w:hAnsi="方正仿宋_GB2312" w:eastAsia="方正仿宋_GB2312" w:cs="方正仿宋_GB2312"/>
                <w:sz w:val="24"/>
                <w:szCs w:val="24"/>
                <w:lang w:eastAsia="zh-CN" w:bidi="ar"/>
              </w:rPr>
              <w:t>强化耕地保护执法合力</w:t>
            </w:r>
          </w:p>
        </w:tc>
        <w:tc>
          <w:tcPr>
            <w:tcW w:w="78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99AB46">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3</w:t>
            </w:r>
            <w:r>
              <w:rPr>
                <w:rFonts w:hint="eastAsia" w:ascii="方正仿宋_GB2312" w:hAnsi="方正仿宋_GB2312" w:eastAsia="方正仿宋_GB2312" w:cs="方正仿宋_GB2312"/>
                <w:sz w:val="24"/>
                <w:szCs w:val="24"/>
                <w:lang w:eastAsia="zh-CN" w:bidi="ar"/>
              </w:rPr>
              <w:t>7</w:t>
            </w:r>
            <w:r>
              <w:rPr>
                <w:rFonts w:ascii="方正仿宋_GB2312" w:hAnsi="方正仿宋_GB2312" w:eastAsia="方正仿宋_GB2312" w:cs="方正仿宋_GB2312"/>
                <w:sz w:val="24"/>
                <w:szCs w:val="24"/>
                <w:lang w:eastAsia="zh-CN" w:bidi="ar"/>
              </w:rPr>
              <w:t>.进一步健全“早发现、早介入、早制止、严查处、严整改”的执法监督机制，坚决查处耕地非农建设的行为，防止擅自改变用途将耕地转为其他农用地及农业设施建设用地的行为。建立违法违规占用耕地周报月结制度，对违法违规占用耕地典型案件进行挂牌督办、公开曝光。建立健全自然资源行政执法与刑事司法衔接工作机制，强化公益诉讼检察与耕地执法查处协作，对违法违规占用耕地构成犯罪的，应依法追究刑事责任，并推动司法鉴定机构开展耕地破坏鉴定。聚焦耕地保护领域重点问题和重点地区开展督察，对督察发现的问题，加强督促整改落实。坚持目标导向和结果导向，加强对苗头性、倾向性问题的研判分析，及时查缺补漏，建立健全耕地保护监督管理制度。</w:t>
            </w:r>
          </w:p>
        </w:tc>
        <w:tc>
          <w:tcPr>
            <w:tcW w:w="19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4C89C0">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w:t>
            </w:r>
            <w:r>
              <w:rPr>
                <w:rFonts w:hint="eastAsia" w:ascii="方正仿宋_GB2312" w:hAnsi="方正仿宋_GB2312" w:eastAsia="方正仿宋_GB2312" w:cs="方正仿宋_GB2312"/>
                <w:sz w:val="24"/>
                <w:szCs w:val="24"/>
                <w:lang w:eastAsia="zh-CN" w:bidi="ar"/>
              </w:rPr>
              <w:t>党委、</w:t>
            </w:r>
            <w:r>
              <w:rPr>
                <w:rFonts w:ascii="方正仿宋_GB2312" w:hAnsi="方正仿宋_GB2312" w:eastAsia="方正仿宋_GB2312" w:cs="方正仿宋_GB2312"/>
                <w:sz w:val="24"/>
                <w:szCs w:val="24"/>
                <w:lang w:eastAsia="zh-CN" w:bidi="ar"/>
              </w:rPr>
              <w:t>人民政府，市自然资源规划局</w:t>
            </w:r>
          </w:p>
        </w:tc>
        <w:tc>
          <w:tcPr>
            <w:tcW w:w="22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4D651D">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市检察院、市法院、市公安局、市农业农村局</w:t>
            </w:r>
          </w:p>
        </w:tc>
      </w:tr>
      <w:tr w14:paraId="2A41C142">
        <w:tblPrEx>
          <w:tblCellMar>
            <w:top w:w="0" w:type="dxa"/>
            <w:left w:w="108" w:type="dxa"/>
            <w:bottom w:w="0" w:type="dxa"/>
            <w:right w:w="108" w:type="dxa"/>
          </w:tblCellMar>
        </w:tblPrEx>
        <w:trPr>
          <w:trHeight w:val="3301"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71E7AB">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27</w:t>
            </w:r>
          </w:p>
        </w:tc>
        <w:tc>
          <w:tcPr>
            <w:tcW w:w="12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D15BF8">
            <w:pPr>
              <w:kinsoku/>
              <w:jc w:val="both"/>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建立指标冻结机制</w:t>
            </w:r>
          </w:p>
        </w:tc>
        <w:tc>
          <w:tcPr>
            <w:tcW w:w="78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C21290">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3</w:t>
            </w:r>
            <w:r>
              <w:rPr>
                <w:rFonts w:hint="eastAsia" w:ascii="方正仿宋_GB2312" w:hAnsi="方正仿宋_GB2312" w:eastAsia="方正仿宋_GB2312" w:cs="方正仿宋_GB2312"/>
                <w:sz w:val="24"/>
                <w:szCs w:val="24"/>
                <w:lang w:eastAsia="zh-CN" w:bidi="ar"/>
              </w:rPr>
              <w:t>8</w:t>
            </w:r>
            <w:r>
              <w:rPr>
                <w:rFonts w:ascii="方正仿宋_GB2312" w:hAnsi="方正仿宋_GB2312" w:eastAsia="方正仿宋_GB2312" w:cs="方正仿宋_GB2312"/>
                <w:sz w:val="24"/>
                <w:szCs w:val="24"/>
                <w:lang w:eastAsia="zh-CN" w:bidi="ar"/>
              </w:rPr>
              <w:t>.坚决遏制新增实质性违法违规建设占用耕地行为，将依据掌握的问题线索和职责权限，对县域违法违规从事非农建设所占用的耕地，先行冻结违法违规用地所在地同等数量的占补平衡指标，直至拆除复耕后解除；经查处后依法办理手续的，将冻结的指标用于占补平衡。对虚假复耕整改、提供虚假批文的单位和个人，由市、县自然资源主管部门向有关机关移送问题线索，依法依规追究相应责任。</w:t>
            </w:r>
          </w:p>
        </w:tc>
        <w:tc>
          <w:tcPr>
            <w:tcW w:w="19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4ECD25">
            <w:pPr>
              <w:kinsoku/>
              <w:jc w:val="both"/>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市自然资源规划局</w:t>
            </w:r>
          </w:p>
        </w:tc>
        <w:tc>
          <w:tcPr>
            <w:tcW w:w="223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20CC12">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w:t>
            </w:r>
            <w:r>
              <w:rPr>
                <w:rFonts w:hint="eastAsia" w:ascii="方正仿宋_GB2312" w:hAnsi="方正仿宋_GB2312" w:eastAsia="方正仿宋_GB2312" w:cs="方正仿宋_GB2312"/>
                <w:sz w:val="24"/>
                <w:szCs w:val="24"/>
                <w:lang w:eastAsia="zh-CN" w:bidi="ar"/>
              </w:rPr>
              <w:t>党委、</w:t>
            </w:r>
            <w:r>
              <w:rPr>
                <w:rFonts w:ascii="方正仿宋_GB2312" w:hAnsi="方正仿宋_GB2312" w:eastAsia="方正仿宋_GB2312" w:cs="方正仿宋_GB2312"/>
                <w:sz w:val="24"/>
                <w:szCs w:val="24"/>
                <w:lang w:eastAsia="zh-CN" w:bidi="ar"/>
              </w:rPr>
              <w:t>人民政府，</w:t>
            </w:r>
            <w:r>
              <w:rPr>
                <w:rFonts w:hint="eastAsia" w:ascii="方正仿宋_GB2312" w:hAnsi="方正仿宋_GB2312" w:eastAsia="方正仿宋_GB2312" w:cs="方正仿宋_GB2312"/>
                <w:sz w:val="24"/>
                <w:szCs w:val="24"/>
                <w:lang w:eastAsia="zh-CN" w:bidi="ar"/>
              </w:rPr>
              <w:t>市纪委市监委</w:t>
            </w:r>
            <w:r>
              <w:rPr>
                <w:rFonts w:ascii="方正仿宋_GB2312" w:hAnsi="方正仿宋_GB2312" w:eastAsia="方正仿宋_GB2312" w:cs="方正仿宋_GB2312"/>
                <w:sz w:val="24"/>
                <w:szCs w:val="24"/>
                <w:lang w:eastAsia="zh-CN" w:bidi="ar"/>
              </w:rPr>
              <w:t>、市检察院、市法院、市农业农村局、市生态环境局、市林业局、市公安局</w:t>
            </w:r>
          </w:p>
        </w:tc>
      </w:tr>
    </w:tbl>
    <w:p w14:paraId="379FB7FA">
      <w:pPr>
        <w:kinsoku/>
        <w:rPr>
          <w:lang w:eastAsia="zh-CN"/>
        </w:rPr>
      </w:pPr>
      <w:r>
        <w:rPr>
          <w:lang w:eastAsia="zh-CN"/>
        </w:rPr>
        <w:br w:type="page"/>
      </w:r>
    </w:p>
    <w:tbl>
      <w:tblPr>
        <w:tblStyle w:val="9"/>
        <w:tblW w:w="4960" w:type="pct"/>
        <w:tblInd w:w="0" w:type="dxa"/>
        <w:tblLayout w:type="autofit"/>
        <w:tblCellMar>
          <w:top w:w="0" w:type="dxa"/>
          <w:left w:w="108" w:type="dxa"/>
          <w:bottom w:w="0" w:type="dxa"/>
          <w:right w:w="108" w:type="dxa"/>
        </w:tblCellMar>
      </w:tblPr>
      <w:tblGrid>
        <w:gridCol w:w="756"/>
        <w:gridCol w:w="1215"/>
        <w:gridCol w:w="7964"/>
        <w:gridCol w:w="1946"/>
        <w:gridCol w:w="2180"/>
      </w:tblGrid>
      <w:tr w14:paraId="2622EE94">
        <w:tblPrEx>
          <w:tblCellMar>
            <w:top w:w="0" w:type="dxa"/>
            <w:left w:w="108" w:type="dxa"/>
            <w:bottom w:w="0" w:type="dxa"/>
            <w:right w:w="108" w:type="dxa"/>
          </w:tblCellMar>
        </w:tblPrEx>
        <w:trPr>
          <w:trHeight w:val="510"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61B1BD">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序号</w:t>
            </w:r>
          </w:p>
        </w:tc>
        <w:tc>
          <w:tcPr>
            <w:tcW w:w="12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EC50D1">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主要任务</w:t>
            </w:r>
          </w:p>
        </w:tc>
        <w:tc>
          <w:tcPr>
            <w:tcW w:w="796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E51B65">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工作举措</w:t>
            </w:r>
          </w:p>
        </w:tc>
        <w:tc>
          <w:tcPr>
            <w:tcW w:w="1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58D7BF">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责任单位</w:t>
            </w:r>
          </w:p>
        </w:tc>
        <w:tc>
          <w:tcPr>
            <w:tcW w:w="21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597D27">
            <w:pPr>
              <w:kinsoku/>
              <w:jc w:val="center"/>
              <w:textAlignment w:val="center"/>
              <w:rPr>
                <w:rFonts w:hint="eastAsia" w:ascii="黑体" w:hAnsi="黑体" w:eastAsia="黑体" w:cs="黑体"/>
                <w:sz w:val="24"/>
                <w:szCs w:val="24"/>
                <w:lang w:eastAsia="zh-CN" w:bidi="ar"/>
              </w:rPr>
            </w:pPr>
            <w:r>
              <w:rPr>
                <w:rFonts w:ascii="黑体" w:hAnsi="黑体" w:eastAsia="黑体" w:cs="黑体"/>
                <w:sz w:val="24"/>
                <w:szCs w:val="24"/>
                <w:lang w:eastAsia="zh-CN" w:bidi="ar"/>
              </w:rPr>
              <w:t>配合单位</w:t>
            </w:r>
          </w:p>
        </w:tc>
      </w:tr>
      <w:tr w14:paraId="5E7199BD">
        <w:tblPrEx>
          <w:tblCellMar>
            <w:top w:w="0" w:type="dxa"/>
            <w:left w:w="108" w:type="dxa"/>
            <w:bottom w:w="0" w:type="dxa"/>
            <w:right w:w="108" w:type="dxa"/>
          </w:tblCellMar>
        </w:tblPrEx>
        <w:trPr>
          <w:trHeight w:val="2595"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275A17">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28</w:t>
            </w:r>
          </w:p>
        </w:tc>
        <w:tc>
          <w:tcPr>
            <w:tcW w:w="12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B7F247">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建立耕地保护经济奖惩机制</w:t>
            </w:r>
          </w:p>
        </w:tc>
        <w:tc>
          <w:tcPr>
            <w:tcW w:w="796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D68A66">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3</w:t>
            </w:r>
            <w:r>
              <w:rPr>
                <w:rFonts w:hint="eastAsia" w:ascii="方正仿宋_GB2312" w:hAnsi="方正仿宋_GB2312" w:eastAsia="方正仿宋_GB2312" w:cs="方正仿宋_GB2312"/>
                <w:sz w:val="24"/>
                <w:szCs w:val="24"/>
                <w:lang w:eastAsia="zh-CN" w:bidi="ar"/>
              </w:rPr>
              <w:t>9</w:t>
            </w:r>
            <w:r>
              <w:rPr>
                <w:rFonts w:ascii="方正仿宋_GB2312" w:hAnsi="方正仿宋_GB2312" w:eastAsia="方正仿宋_GB2312" w:cs="方正仿宋_GB2312"/>
                <w:sz w:val="24"/>
                <w:szCs w:val="24"/>
                <w:lang w:eastAsia="zh-CN" w:bidi="ar"/>
              </w:rPr>
              <w:t>.各地要统筹各方面资金，结合耕地目标缺口任务落实经济补偿。强化资金统筹力度，整合各级自然资源、农业农村等现有资金渠道，积极引导社会资本参与耕地保护工作，构建耕地保护多元化投入机制。根据国家耕地保护责任目标考核奖惩办法，建立耕地保护责任目标考核经济奖惩制度。强化粮食种植导向，对承担耕地保护任务的农村集体经济组织、农户给予奖补，对不符合耕地用途管制要求的农业生产经营活动，取消补贴等财政扶持资金。</w:t>
            </w:r>
          </w:p>
        </w:tc>
        <w:tc>
          <w:tcPr>
            <w:tcW w:w="1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884798">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市自然资源规划局、市农业农村局</w:t>
            </w:r>
          </w:p>
        </w:tc>
        <w:tc>
          <w:tcPr>
            <w:tcW w:w="21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2F5236">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w:t>
            </w:r>
            <w:r>
              <w:rPr>
                <w:rFonts w:hint="eastAsia" w:ascii="方正仿宋_GB2312" w:hAnsi="方正仿宋_GB2312" w:eastAsia="方正仿宋_GB2312" w:cs="方正仿宋_GB2312"/>
                <w:sz w:val="24"/>
                <w:szCs w:val="24"/>
                <w:lang w:eastAsia="zh-CN" w:bidi="ar"/>
              </w:rPr>
              <w:t>党委、</w:t>
            </w:r>
            <w:r>
              <w:rPr>
                <w:rFonts w:ascii="方正仿宋_GB2312" w:hAnsi="方正仿宋_GB2312" w:eastAsia="方正仿宋_GB2312" w:cs="方正仿宋_GB2312"/>
                <w:sz w:val="24"/>
                <w:szCs w:val="24"/>
                <w:lang w:eastAsia="zh-CN" w:bidi="ar"/>
              </w:rPr>
              <w:t>人民政府，市发改委、市财政局、市审计局</w:t>
            </w:r>
          </w:p>
        </w:tc>
      </w:tr>
      <w:tr w14:paraId="128CA12B">
        <w:tblPrEx>
          <w:tblCellMar>
            <w:top w:w="0" w:type="dxa"/>
            <w:left w:w="108" w:type="dxa"/>
            <w:bottom w:w="0" w:type="dxa"/>
            <w:right w:w="108" w:type="dxa"/>
          </w:tblCellMar>
        </w:tblPrEx>
        <w:trPr>
          <w:trHeight w:val="3627" w:hRule="atLeast"/>
        </w:trPr>
        <w:tc>
          <w:tcPr>
            <w:tcW w:w="7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23C35F">
            <w:pPr>
              <w:kinsoku/>
              <w:jc w:val="center"/>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29</w:t>
            </w:r>
          </w:p>
        </w:tc>
        <w:tc>
          <w:tcPr>
            <w:tcW w:w="121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0AF9F0">
            <w:pPr>
              <w:kinsoku/>
              <w:jc w:val="both"/>
              <w:textAlignment w:val="center"/>
              <w:rPr>
                <w:rFonts w:hint="eastAsia" w:ascii="方正仿宋_GB2312" w:hAnsi="方正仿宋_GB2312" w:eastAsia="方正仿宋_GB2312" w:cs="方正仿宋_GB2312"/>
                <w:sz w:val="24"/>
                <w:szCs w:val="24"/>
              </w:rPr>
            </w:pPr>
            <w:r>
              <w:rPr>
                <w:rFonts w:ascii="方正仿宋_GB2312" w:hAnsi="方正仿宋_GB2312" w:eastAsia="方正仿宋_GB2312" w:cs="方正仿宋_GB2312"/>
                <w:sz w:val="24"/>
                <w:szCs w:val="24"/>
                <w:lang w:eastAsia="zh-CN" w:bidi="ar"/>
              </w:rPr>
              <w:t>耕地保护宣传教育</w:t>
            </w:r>
          </w:p>
        </w:tc>
        <w:tc>
          <w:tcPr>
            <w:tcW w:w="796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2351A4">
            <w:pPr>
              <w:kinsoku/>
              <w:jc w:val="both"/>
              <w:textAlignment w:val="center"/>
              <w:rPr>
                <w:rFonts w:hint="eastAsia" w:ascii="方正仿宋_GB2312" w:hAnsi="方正仿宋_GB2312" w:eastAsia="方正仿宋_GB2312" w:cs="方正仿宋_GB2312"/>
                <w:sz w:val="24"/>
                <w:szCs w:val="24"/>
                <w:lang w:eastAsia="zh-CN"/>
              </w:rPr>
            </w:pPr>
            <w:r>
              <w:rPr>
                <w:rFonts w:hint="eastAsia" w:ascii="方正仿宋_GB2312" w:hAnsi="方正仿宋_GB2312" w:eastAsia="方正仿宋_GB2312" w:cs="方正仿宋_GB2312"/>
                <w:sz w:val="24"/>
                <w:szCs w:val="24"/>
                <w:lang w:eastAsia="zh-CN" w:bidi="ar"/>
              </w:rPr>
              <w:t>40</w:t>
            </w:r>
            <w:r>
              <w:rPr>
                <w:rFonts w:ascii="方正仿宋_GB2312" w:hAnsi="方正仿宋_GB2312" w:eastAsia="方正仿宋_GB2312" w:cs="方正仿宋_GB2312"/>
                <w:sz w:val="24"/>
                <w:szCs w:val="24"/>
                <w:lang w:eastAsia="zh-CN" w:bidi="ar"/>
              </w:rPr>
              <w:t>.将耕地保护法律法规政策纳入党委、政府学习和党政领导干部教育培训内容，提升各级领导干部耕地保护管理能力和水平。深入乡镇（街道）、村（社区）开展耕地保护政策宣传与解读。采取拍摄耕地保护宣传视频、宣传标语等方式，充分利用广播电视、报刊、门户网站、微信公众号等形式开展耕地“非农化”和农村乱占耕地建房行为的宣传活动，充分发挥舆论引导，树立先进典型，不断复制推广耕地保护好做法好经验。加大对耕地“非农化”和农村乱占耕地建房行为的曝光力度，不断提升公众对耕地保护和粮食安全工作的认知水平，提高全社会耕地保护责任意识，努力营造耕地保护的良好社会氛围。</w:t>
            </w:r>
          </w:p>
        </w:tc>
        <w:tc>
          <w:tcPr>
            <w:tcW w:w="1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FFD82B">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县（市、区）</w:t>
            </w:r>
            <w:r>
              <w:rPr>
                <w:rFonts w:hint="eastAsia" w:ascii="方正仿宋_GB2312" w:hAnsi="方正仿宋_GB2312" w:eastAsia="方正仿宋_GB2312" w:cs="方正仿宋_GB2312"/>
                <w:sz w:val="24"/>
                <w:szCs w:val="24"/>
                <w:lang w:eastAsia="zh-CN" w:bidi="ar"/>
              </w:rPr>
              <w:t>党委、</w:t>
            </w:r>
            <w:r>
              <w:rPr>
                <w:rFonts w:ascii="方正仿宋_GB2312" w:hAnsi="方正仿宋_GB2312" w:eastAsia="方正仿宋_GB2312" w:cs="方正仿宋_GB2312"/>
                <w:sz w:val="24"/>
                <w:szCs w:val="24"/>
                <w:lang w:eastAsia="zh-CN" w:bidi="ar"/>
              </w:rPr>
              <w:t>人民政府</w:t>
            </w:r>
            <w:r>
              <w:rPr>
                <w:rFonts w:hint="eastAsia" w:ascii="方正仿宋_GB2312" w:hAnsi="方正仿宋_GB2312" w:eastAsia="方正仿宋_GB2312" w:cs="方正仿宋_GB2312"/>
                <w:sz w:val="24"/>
                <w:szCs w:val="24"/>
                <w:lang w:eastAsia="zh-CN" w:bidi="ar"/>
              </w:rPr>
              <w:t>，</w:t>
            </w:r>
            <w:r>
              <w:rPr>
                <w:rFonts w:ascii="方正仿宋_GB2312" w:hAnsi="方正仿宋_GB2312" w:eastAsia="方正仿宋_GB2312" w:cs="方正仿宋_GB2312"/>
                <w:sz w:val="24"/>
                <w:szCs w:val="24"/>
                <w:lang w:eastAsia="zh-CN" w:bidi="ar"/>
              </w:rPr>
              <w:t>市自然资源规划局、市农业农村局</w:t>
            </w:r>
          </w:p>
        </w:tc>
        <w:tc>
          <w:tcPr>
            <w:tcW w:w="21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14D06D">
            <w:pPr>
              <w:kinsoku/>
              <w:jc w:val="center"/>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市文旅局</w:t>
            </w:r>
          </w:p>
        </w:tc>
      </w:tr>
      <w:tr w14:paraId="4D1D6FFC">
        <w:tblPrEx>
          <w:tblCellMar>
            <w:top w:w="0" w:type="dxa"/>
            <w:left w:w="108" w:type="dxa"/>
            <w:bottom w:w="0" w:type="dxa"/>
            <w:right w:w="108" w:type="dxa"/>
          </w:tblCellMar>
        </w:tblPrEx>
        <w:trPr>
          <w:trHeight w:val="531" w:hRule="atLeast"/>
        </w:trPr>
        <w:tc>
          <w:tcPr>
            <w:tcW w:w="14061" w:type="dxa"/>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380FB19C">
            <w:pPr>
              <w:kinsoku/>
              <w:jc w:val="both"/>
              <w:textAlignment w:val="center"/>
              <w:rPr>
                <w:rFonts w:hint="eastAsia" w:ascii="方正仿宋_GB2312" w:hAnsi="方正仿宋_GB2312" w:eastAsia="方正仿宋_GB2312" w:cs="方正仿宋_GB2312"/>
                <w:sz w:val="24"/>
                <w:szCs w:val="24"/>
                <w:lang w:eastAsia="zh-CN"/>
              </w:rPr>
            </w:pPr>
            <w:r>
              <w:rPr>
                <w:rFonts w:ascii="方正仿宋_GB2312" w:hAnsi="方正仿宋_GB2312" w:eastAsia="方正仿宋_GB2312" w:cs="方正仿宋_GB2312"/>
                <w:sz w:val="24"/>
                <w:szCs w:val="24"/>
                <w:lang w:eastAsia="zh-CN" w:bidi="ar"/>
              </w:rPr>
              <w:t>附注：1.本清单由市自然资源规划局负责解释。2.法律、法规和上级另有规定的，从其规定。3.每年度可根据上级最新政策完善、调整，更新补充清单内容。</w:t>
            </w:r>
          </w:p>
        </w:tc>
      </w:tr>
    </w:tbl>
    <w:p w14:paraId="7D5DE6DE">
      <w:pPr>
        <w:kinsoku/>
        <w:rPr>
          <w:rFonts w:hint="eastAsia" w:ascii="方正仿宋_GB2312" w:hAnsi="方正仿宋_GB2312" w:eastAsia="方正仿宋_GB2312" w:cs="方正仿宋_GB2312"/>
          <w:b/>
          <w:color w:val="auto"/>
          <w:sz w:val="32"/>
          <w:szCs w:val="32"/>
          <w:lang w:eastAsia="zh-CN"/>
        </w:rPr>
      </w:pPr>
      <w:r>
        <w:rPr>
          <w:rFonts w:hint="eastAsia" w:ascii="方正仿宋_GB2312" w:hAnsi="方正仿宋_GB2312" w:eastAsia="方正仿宋_GB2312" w:cs="方正仿宋_GB2312"/>
          <w:b/>
          <w:color w:val="auto"/>
          <w:sz w:val="32"/>
          <w:szCs w:val="32"/>
          <w:lang w:eastAsia="zh-CN"/>
        </w:rPr>
        <w:br w:type="page"/>
      </w:r>
    </w:p>
    <w:p w14:paraId="166EC810">
      <w:pPr>
        <w:kinsoku/>
        <w:spacing w:line="560" w:lineRule="exact"/>
        <w:rPr>
          <w:rFonts w:hint="eastAsia" w:ascii="黑体" w:hAnsi="黑体" w:eastAsia="黑体" w:cs="方正仿宋_GB2312"/>
          <w:bCs/>
          <w:color w:val="auto"/>
          <w:sz w:val="32"/>
          <w:szCs w:val="32"/>
          <w:lang w:eastAsia="zh-CN"/>
        </w:rPr>
      </w:pPr>
      <w:r>
        <w:rPr>
          <w:rFonts w:hint="eastAsia" w:ascii="黑体" w:hAnsi="黑体" w:eastAsia="黑体" w:cs="方正仿宋_GB2312"/>
          <w:bCs/>
          <w:color w:val="auto"/>
          <w:sz w:val="32"/>
          <w:szCs w:val="32"/>
          <w:lang w:eastAsia="zh-CN"/>
        </w:rPr>
        <w:t>附件2</w:t>
      </w:r>
    </w:p>
    <w:p w14:paraId="32FDD991">
      <w:pPr>
        <w:kinsoku/>
        <w:spacing w:line="560" w:lineRule="exact"/>
        <w:jc w:val="center"/>
        <w:rPr>
          <w:rFonts w:hint="eastAsia" w:ascii="方正仿宋_GB2312" w:hAnsi="方正仿宋_GB2312" w:eastAsia="方正仿宋_GB2312" w:cs="方正仿宋_GB2312"/>
          <w:b/>
          <w:color w:val="auto"/>
          <w:sz w:val="32"/>
          <w:szCs w:val="32"/>
          <w:lang w:eastAsia="zh-CN"/>
        </w:rPr>
      </w:pPr>
      <w:r>
        <w:rPr>
          <w:rFonts w:hint="eastAsia" w:ascii="方正小标宋简体" w:hAnsi="方正小标宋简体" w:eastAsia="方正小标宋简体" w:cs="方正小标宋简体"/>
          <w:bCs/>
          <w:color w:val="auto"/>
          <w:sz w:val="32"/>
          <w:szCs w:val="32"/>
          <w:lang w:eastAsia="zh-CN"/>
        </w:rPr>
        <w:t>景德镇市耕地保有量和永久基本农田保护目标任务</w:t>
      </w:r>
    </w:p>
    <w:tbl>
      <w:tblPr>
        <w:tblStyle w:val="9"/>
        <w:tblW w:w="4998" w:type="pct"/>
        <w:jc w:val="center"/>
        <w:tblLayout w:type="autofit"/>
        <w:tblCellMar>
          <w:top w:w="0" w:type="dxa"/>
          <w:left w:w="108" w:type="dxa"/>
          <w:bottom w:w="0" w:type="dxa"/>
          <w:right w:w="108" w:type="dxa"/>
        </w:tblCellMar>
      </w:tblPr>
      <w:tblGrid>
        <w:gridCol w:w="4097"/>
        <w:gridCol w:w="5358"/>
        <w:gridCol w:w="4713"/>
      </w:tblGrid>
      <w:tr w14:paraId="7018F68C">
        <w:tblPrEx>
          <w:tblCellMar>
            <w:top w:w="0" w:type="dxa"/>
            <w:left w:w="108" w:type="dxa"/>
            <w:bottom w:w="0" w:type="dxa"/>
            <w:right w:w="108" w:type="dxa"/>
          </w:tblCellMar>
        </w:tblPrEx>
        <w:trPr>
          <w:trHeight w:val="460" w:hRule="atLeast"/>
          <w:jc w:val="center"/>
        </w:trPr>
        <w:tc>
          <w:tcPr>
            <w:tcW w:w="5000" w:type="pct"/>
            <w:gridSpan w:val="3"/>
            <w:tcBorders>
              <w:top w:val="nil"/>
              <w:left w:val="nil"/>
              <w:bottom w:val="nil"/>
              <w:right w:val="nil"/>
            </w:tcBorders>
            <w:shd w:val="clear" w:color="auto" w:fill="auto"/>
            <w:noWrap/>
            <w:vAlign w:val="center"/>
          </w:tcPr>
          <w:p w14:paraId="4F905BA7">
            <w:pPr>
              <w:kinsoku/>
              <w:spacing w:line="560" w:lineRule="exact"/>
              <w:jc w:val="right"/>
              <w:rPr>
                <w:rFonts w:hint="eastAsia" w:ascii="方正仿宋_GB2312" w:hAnsi="方正仿宋_GB2312" w:eastAsia="方正仿宋_GB2312" w:cs="方正仿宋_GB2312"/>
                <w:bCs/>
                <w:color w:val="auto"/>
                <w:sz w:val="32"/>
                <w:szCs w:val="32"/>
                <w:lang w:eastAsia="zh-CN"/>
              </w:rPr>
            </w:pPr>
            <w:r>
              <w:rPr>
                <w:rFonts w:hint="eastAsia" w:ascii="方正仿宋_GB2312" w:hAnsi="方正仿宋_GB2312" w:eastAsia="方正仿宋_GB2312" w:cs="方正仿宋_GB2312"/>
                <w:bCs/>
                <w:color w:val="auto"/>
                <w:sz w:val="32"/>
                <w:szCs w:val="32"/>
                <w:lang w:eastAsia="zh-CN"/>
              </w:rPr>
              <w:t>单位：万亩</w:t>
            </w:r>
          </w:p>
        </w:tc>
      </w:tr>
      <w:tr w14:paraId="7D5C3AAA">
        <w:tblPrEx>
          <w:tblCellMar>
            <w:top w:w="0" w:type="dxa"/>
            <w:left w:w="108" w:type="dxa"/>
            <w:bottom w:w="0" w:type="dxa"/>
            <w:right w:w="108" w:type="dxa"/>
          </w:tblCellMar>
        </w:tblPrEx>
        <w:trPr>
          <w:trHeight w:val="1120" w:hRule="atLeast"/>
          <w:jc w:val="center"/>
        </w:trPr>
        <w:tc>
          <w:tcPr>
            <w:tcW w:w="1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753BF">
            <w:pPr>
              <w:kinsoku/>
              <w:spacing w:line="560" w:lineRule="exact"/>
              <w:jc w:val="center"/>
              <w:rPr>
                <w:rFonts w:hint="eastAsia" w:ascii="黑体" w:hAnsi="黑体" w:eastAsia="黑体" w:cs="黑体"/>
                <w:bCs/>
                <w:color w:val="auto"/>
                <w:sz w:val="28"/>
                <w:szCs w:val="28"/>
                <w:lang w:eastAsia="zh-CN"/>
              </w:rPr>
            </w:pPr>
            <w:r>
              <w:rPr>
                <w:rFonts w:hint="eastAsia" w:ascii="黑体" w:hAnsi="黑体" w:eastAsia="黑体" w:cs="黑体"/>
                <w:bCs/>
                <w:color w:val="auto"/>
                <w:sz w:val="28"/>
                <w:szCs w:val="28"/>
                <w:lang w:eastAsia="zh-CN"/>
              </w:rPr>
              <w:t>行政区名称</w:t>
            </w:r>
          </w:p>
        </w:tc>
        <w:tc>
          <w:tcPr>
            <w:tcW w:w="18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475AA">
            <w:pPr>
              <w:kinsoku/>
              <w:spacing w:line="560" w:lineRule="exact"/>
              <w:jc w:val="center"/>
              <w:rPr>
                <w:rFonts w:hint="eastAsia" w:ascii="黑体" w:hAnsi="黑体" w:eastAsia="黑体" w:cs="黑体"/>
                <w:bCs/>
                <w:color w:val="auto"/>
                <w:sz w:val="28"/>
                <w:szCs w:val="28"/>
                <w:lang w:eastAsia="zh-CN"/>
              </w:rPr>
            </w:pPr>
            <w:r>
              <w:rPr>
                <w:rFonts w:hint="eastAsia" w:ascii="黑体" w:hAnsi="黑体" w:eastAsia="黑体" w:cs="黑体"/>
                <w:bCs/>
                <w:color w:val="auto"/>
                <w:sz w:val="28"/>
                <w:szCs w:val="28"/>
                <w:lang w:eastAsia="zh-CN"/>
              </w:rPr>
              <w:t>耕地保护目标</w:t>
            </w:r>
            <w:r>
              <w:rPr>
                <w:rFonts w:hint="eastAsia" w:ascii="黑体" w:hAnsi="黑体" w:eastAsia="黑体" w:cs="黑体"/>
                <w:bCs/>
                <w:color w:val="auto"/>
                <w:sz w:val="28"/>
                <w:szCs w:val="28"/>
                <w:lang w:eastAsia="zh-CN"/>
              </w:rPr>
              <w:br w:type="textWrapping"/>
            </w:r>
            <w:r>
              <w:rPr>
                <w:rFonts w:hint="eastAsia" w:ascii="黑体" w:hAnsi="黑体" w:eastAsia="黑体" w:cs="黑体"/>
                <w:bCs/>
                <w:color w:val="auto"/>
                <w:sz w:val="28"/>
                <w:szCs w:val="28"/>
                <w:lang w:eastAsia="zh-CN"/>
              </w:rPr>
              <w:t>（三区三线2020年）</w:t>
            </w:r>
          </w:p>
        </w:tc>
        <w:tc>
          <w:tcPr>
            <w:tcW w:w="16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2EC33">
            <w:pPr>
              <w:kinsoku/>
              <w:spacing w:line="560" w:lineRule="exact"/>
              <w:jc w:val="center"/>
              <w:rPr>
                <w:rFonts w:hint="eastAsia" w:ascii="黑体" w:hAnsi="黑体" w:eastAsia="黑体" w:cs="黑体"/>
                <w:bCs/>
                <w:color w:val="auto"/>
                <w:sz w:val="28"/>
                <w:szCs w:val="28"/>
                <w:lang w:eastAsia="zh-CN"/>
              </w:rPr>
            </w:pPr>
            <w:r>
              <w:rPr>
                <w:rFonts w:hint="eastAsia" w:ascii="黑体" w:hAnsi="黑体" w:eastAsia="黑体" w:cs="黑体"/>
                <w:bCs/>
                <w:color w:val="auto"/>
                <w:sz w:val="28"/>
                <w:szCs w:val="28"/>
                <w:lang w:eastAsia="zh-CN"/>
              </w:rPr>
              <w:t>永久基本农田</w:t>
            </w:r>
            <w:r>
              <w:rPr>
                <w:rFonts w:hint="eastAsia" w:ascii="黑体" w:hAnsi="黑体" w:eastAsia="黑体" w:cs="黑体"/>
                <w:bCs/>
                <w:color w:val="auto"/>
                <w:sz w:val="28"/>
                <w:szCs w:val="28"/>
                <w:lang w:eastAsia="zh-CN"/>
              </w:rPr>
              <w:br w:type="textWrapping"/>
            </w:r>
            <w:r>
              <w:rPr>
                <w:rFonts w:hint="eastAsia" w:ascii="黑体" w:hAnsi="黑体" w:eastAsia="黑体" w:cs="黑体"/>
                <w:bCs/>
                <w:color w:val="auto"/>
                <w:sz w:val="28"/>
                <w:szCs w:val="28"/>
                <w:lang w:eastAsia="zh-CN"/>
              </w:rPr>
              <w:t>（三区三线2020年）</w:t>
            </w:r>
          </w:p>
        </w:tc>
      </w:tr>
      <w:tr w14:paraId="55EBF8D9">
        <w:tblPrEx>
          <w:tblCellMar>
            <w:top w:w="0" w:type="dxa"/>
            <w:left w:w="108" w:type="dxa"/>
            <w:bottom w:w="0" w:type="dxa"/>
            <w:right w:w="108" w:type="dxa"/>
          </w:tblCellMar>
        </w:tblPrEx>
        <w:trPr>
          <w:trHeight w:val="660" w:hRule="atLeast"/>
          <w:jc w:val="center"/>
        </w:trPr>
        <w:tc>
          <w:tcPr>
            <w:tcW w:w="1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3794D">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景德镇市</w:t>
            </w:r>
          </w:p>
        </w:tc>
        <w:tc>
          <w:tcPr>
            <w:tcW w:w="18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16E63">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120.2873</w:t>
            </w:r>
          </w:p>
        </w:tc>
        <w:tc>
          <w:tcPr>
            <w:tcW w:w="16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4CFFD">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106.5103</w:t>
            </w:r>
          </w:p>
        </w:tc>
      </w:tr>
      <w:tr w14:paraId="27D78FC8">
        <w:tblPrEx>
          <w:tblCellMar>
            <w:top w:w="0" w:type="dxa"/>
            <w:left w:w="108" w:type="dxa"/>
            <w:bottom w:w="0" w:type="dxa"/>
            <w:right w:w="108" w:type="dxa"/>
          </w:tblCellMar>
        </w:tblPrEx>
        <w:trPr>
          <w:trHeight w:val="660" w:hRule="atLeast"/>
          <w:jc w:val="center"/>
        </w:trPr>
        <w:tc>
          <w:tcPr>
            <w:tcW w:w="1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671CD">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珠山区</w:t>
            </w:r>
          </w:p>
        </w:tc>
        <w:tc>
          <w:tcPr>
            <w:tcW w:w="18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89E8F">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0.5707</w:t>
            </w:r>
          </w:p>
        </w:tc>
        <w:tc>
          <w:tcPr>
            <w:tcW w:w="16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7D308">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0.0822</w:t>
            </w:r>
          </w:p>
        </w:tc>
      </w:tr>
      <w:tr w14:paraId="428C1583">
        <w:tblPrEx>
          <w:tblCellMar>
            <w:top w:w="0" w:type="dxa"/>
            <w:left w:w="108" w:type="dxa"/>
            <w:bottom w:w="0" w:type="dxa"/>
            <w:right w:w="108" w:type="dxa"/>
          </w:tblCellMar>
        </w:tblPrEx>
        <w:trPr>
          <w:trHeight w:val="660" w:hRule="atLeast"/>
          <w:jc w:val="center"/>
        </w:trPr>
        <w:tc>
          <w:tcPr>
            <w:tcW w:w="1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3B623">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昌江区</w:t>
            </w:r>
          </w:p>
        </w:tc>
        <w:tc>
          <w:tcPr>
            <w:tcW w:w="18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F2551">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7.3041</w:t>
            </w:r>
          </w:p>
        </w:tc>
        <w:tc>
          <w:tcPr>
            <w:tcW w:w="16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79502">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5.0704</w:t>
            </w:r>
          </w:p>
        </w:tc>
      </w:tr>
      <w:tr w14:paraId="6C941896">
        <w:tblPrEx>
          <w:tblCellMar>
            <w:top w:w="0" w:type="dxa"/>
            <w:left w:w="108" w:type="dxa"/>
            <w:bottom w:w="0" w:type="dxa"/>
            <w:right w:w="108" w:type="dxa"/>
          </w:tblCellMar>
        </w:tblPrEx>
        <w:trPr>
          <w:trHeight w:val="660" w:hRule="atLeast"/>
          <w:jc w:val="center"/>
        </w:trPr>
        <w:tc>
          <w:tcPr>
            <w:tcW w:w="1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22DBE">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浮梁县</w:t>
            </w:r>
          </w:p>
        </w:tc>
        <w:tc>
          <w:tcPr>
            <w:tcW w:w="18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17BC3">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31.9999</w:t>
            </w:r>
          </w:p>
        </w:tc>
        <w:tc>
          <w:tcPr>
            <w:tcW w:w="16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5A1FB">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27.8362</w:t>
            </w:r>
          </w:p>
        </w:tc>
      </w:tr>
      <w:tr w14:paraId="5F345172">
        <w:tblPrEx>
          <w:tblCellMar>
            <w:top w:w="0" w:type="dxa"/>
            <w:left w:w="108" w:type="dxa"/>
            <w:bottom w:w="0" w:type="dxa"/>
            <w:right w:w="108" w:type="dxa"/>
          </w:tblCellMar>
        </w:tblPrEx>
        <w:trPr>
          <w:trHeight w:val="660" w:hRule="atLeast"/>
          <w:jc w:val="center"/>
        </w:trPr>
        <w:tc>
          <w:tcPr>
            <w:tcW w:w="1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01CBF">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乐平市</w:t>
            </w:r>
          </w:p>
        </w:tc>
        <w:tc>
          <w:tcPr>
            <w:tcW w:w="18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B6E61">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80.4127</w:t>
            </w:r>
          </w:p>
        </w:tc>
        <w:tc>
          <w:tcPr>
            <w:tcW w:w="16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65269">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73.5215</w:t>
            </w:r>
          </w:p>
        </w:tc>
      </w:tr>
      <w:tr w14:paraId="3878B6F2">
        <w:tblPrEx>
          <w:tblCellMar>
            <w:top w:w="0" w:type="dxa"/>
            <w:left w:w="108" w:type="dxa"/>
            <w:bottom w:w="0" w:type="dxa"/>
            <w:right w:w="108" w:type="dxa"/>
          </w:tblCellMar>
        </w:tblPrEx>
        <w:trPr>
          <w:trHeight w:val="600" w:hRule="atLeast"/>
          <w:jc w:val="center"/>
        </w:trPr>
        <w:tc>
          <w:tcPr>
            <w:tcW w:w="5000" w:type="pct"/>
            <w:gridSpan w:val="3"/>
            <w:tcBorders>
              <w:top w:val="nil"/>
              <w:left w:val="nil"/>
              <w:bottom w:val="nil"/>
              <w:right w:val="nil"/>
            </w:tcBorders>
            <w:shd w:val="clear" w:color="auto" w:fill="auto"/>
            <w:vAlign w:val="center"/>
          </w:tcPr>
          <w:p w14:paraId="7525714E">
            <w:pPr>
              <w:kinsoku/>
              <w:spacing w:line="560" w:lineRule="exact"/>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注：耕地保护目标和永久基本农田面积变化以上级调整确定为准。</w:t>
            </w:r>
          </w:p>
        </w:tc>
      </w:tr>
    </w:tbl>
    <w:p w14:paraId="0A0F3444">
      <w:pPr>
        <w:pStyle w:val="6"/>
        <w:kinsoku/>
        <w:ind w:left="0"/>
        <w:rPr>
          <w:rFonts w:hint="eastAsia"/>
          <w:lang w:val="en-US" w:eastAsia="zh-CN"/>
        </w:rPr>
      </w:pPr>
    </w:p>
    <w:p w14:paraId="0454B9B9">
      <w:pPr>
        <w:kinsoku/>
        <w:rPr>
          <w:rFonts w:hint="eastAsia" w:ascii="方正仿宋_GB2312" w:hAnsi="方正仿宋_GB2312" w:eastAsia="方正仿宋_GB2312" w:cs="方正仿宋_GB2312"/>
          <w:bCs/>
          <w:color w:val="auto"/>
          <w:sz w:val="32"/>
          <w:szCs w:val="32"/>
          <w:lang w:eastAsia="zh-CN"/>
        </w:rPr>
      </w:pPr>
      <w:r>
        <w:rPr>
          <w:rFonts w:hint="eastAsia" w:ascii="方正仿宋_GB2312" w:hAnsi="方正仿宋_GB2312" w:eastAsia="方正仿宋_GB2312" w:cs="方正仿宋_GB2312"/>
          <w:bCs/>
          <w:color w:val="auto"/>
          <w:sz w:val="32"/>
          <w:szCs w:val="32"/>
          <w:lang w:eastAsia="zh-CN"/>
        </w:rPr>
        <w:br w:type="page"/>
      </w:r>
    </w:p>
    <w:p w14:paraId="41659758">
      <w:pPr>
        <w:kinsoku/>
        <w:spacing w:line="560" w:lineRule="exact"/>
        <w:jc w:val="both"/>
        <w:rPr>
          <w:rFonts w:hint="eastAsia" w:ascii="黑体" w:hAnsi="黑体" w:eastAsia="黑体" w:cs="方正仿宋_GB2312"/>
          <w:bCs/>
          <w:color w:val="auto"/>
          <w:sz w:val="32"/>
          <w:szCs w:val="32"/>
          <w:lang w:eastAsia="zh-CN"/>
        </w:rPr>
      </w:pPr>
      <w:r>
        <w:rPr>
          <w:rFonts w:hint="eastAsia" w:ascii="黑体" w:hAnsi="黑体" w:eastAsia="黑体" w:cs="方正仿宋_GB2312"/>
          <w:bCs/>
          <w:color w:val="auto"/>
          <w:sz w:val="32"/>
          <w:szCs w:val="32"/>
          <w:lang w:eastAsia="zh-CN"/>
        </w:rPr>
        <w:t>附件3</w:t>
      </w:r>
    </w:p>
    <w:p w14:paraId="716BDA17">
      <w:pPr>
        <w:kinsoku/>
        <w:spacing w:line="560" w:lineRule="exact"/>
        <w:jc w:val="center"/>
        <w:rPr>
          <w:rFonts w:hint="eastAsia" w:ascii="方正小标宋简体" w:hAnsi="方正小标宋简体" w:eastAsia="方正小标宋简体" w:cs="方正小标宋简体"/>
          <w:bCs/>
          <w:color w:val="auto"/>
          <w:sz w:val="32"/>
          <w:szCs w:val="32"/>
          <w:lang w:eastAsia="zh-CN"/>
        </w:rPr>
      </w:pPr>
      <w:r>
        <w:rPr>
          <w:rFonts w:hint="eastAsia" w:ascii="方正小标宋简体" w:hAnsi="方正小标宋简体" w:eastAsia="方正小标宋简体" w:cs="方正小标宋简体"/>
          <w:bCs/>
          <w:color w:val="auto"/>
          <w:sz w:val="32"/>
          <w:szCs w:val="32"/>
          <w:lang w:eastAsia="zh-CN"/>
        </w:rPr>
        <w:t>景德镇市耕地缺口任务恢复计划</w:t>
      </w:r>
    </w:p>
    <w:tbl>
      <w:tblPr>
        <w:tblStyle w:val="9"/>
        <w:tblW w:w="5000" w:type="pct"/>
        <w:jc w:val="center"/>
        <w:tblLayout w:type="autofit"/>
        <w:tblCellMar>
          <w:top w:w="0" w:type="dxa"/>
          <w:left w:w="108" w:type="dxa"/>
          <w:bottom w:w="0" w:type="dxa"/>
          <w:right w:w="108" w:type="dxa"/>
        </w:tblCellMar>
      </w:tblPr>
      <w:tblGrid>
        <w:gridCol w:w="2131"/>
        <w:gridCol w:w="2458"/>
        <w:gridCol w:w="2931"/>
        <w:gridCol w:w="2302"/>
        <w:gridCol w:w="2166"/>
        <w:gridCol w:w="2186"/>
      </w:tblGrid>
      <w:tr w14:paraId="3393E01D">
        <w:tblPrEx>
          <w:tblCellMar>
            <w:top w:w="0" w:type="dxa"/>
            <w:left w:w="108" w:type="dxa"/>
            <w:bottom w:w="0" w:type="dxa"/>
            <w:right w:w="108" w:type="dxa"/>
          </w:tblCellMar>
        </w:tblPrEx>
        <w:trPr>
          <w:trHeight w:val="327" w:hRule="atLeast"/>
          <w:jc w:val="center"/>
        </w:trPr>
        <w:tc>
          <w:tcPr>
            <w:tcW w:w="5000" w:type="pct"/>
            <w:gridSpan w:val="6"/>
            <w:tcBorders>
              <w:top w:val="nil"/>
              <w:left w:val="nil"/>
              <w:bottom w:val="nil"/>
              <w:right w:val="nil"/>
            </w:tcBorders>
            <w:shd w:val="clear" w:color="auto" w:fill="auto"/>
            <w:noWrap/>
            <w:vAlign w:val="center"/>
          </w:tcPr>
          <w:p w14:paraId="519A9D5D">
            <w:pPr>
              <w:kinsoku/>
              <w:spacing w:line="560" w:lineRule="exact"/>
              <w:jc w:val="right"/>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单位：万亩</w:t>
            </w:r>
          </w:p>
        </w:tc>
      </w:tr>
      <w:tr w14:paraId="6A1581B1">
        <w:tblPrEx>
          <w:tblCellMar>
            <w:top w:w="0" w:type="dxa"/>
            <w:left w:w="108" w:type="dxa"/>
            <w:bottom w:w="0" w:type="dxa"/>
            <w:right w:w="108" w:type="dxa"/>
          </w:tblCellMar>
        </w:tblPrEx>
        <w:trPr>
          <w:trHeight w:val="1887" w:hRule="atLeast"/>
          <w:jc w:val="center"/>
        </w:trPr>
        <w:tc>
          <w:tcPr>
            <w:tcW w:w="7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B097E85">
            <w:pPr>
              <w:kinsoku/>
              <w:spacing w:line="560" w:lineRule="exact"/>
              <w:jc w:val="center"/>
              <w:rPr>
                <w:rFonts w:hint="eastAsia" w:ascii="黑体" w:hAnsi="黑体" w:eastAsia="黑体" w:cs="黑体"/>
                <w:bCs/>
                <w:color w:val="auto"/>
                <w:sz w:val="28"/>
                <w:szCs w:val="28"/>
                <w:lang w:eastAsia="zh-CN"/>
              </w:rPr>
            </w:pPr>
            <w:r>
              <w:rPr>
                <w:rFonts w:hint="eastAsia" w:ascii="黑体" w:hAnsi="黑体" w:eastAsia="黑体" w:cs="黑体"/>
                <w:bCs/>
                <w:color w:val="auto"/>
                <w:sz w:val="28"/>
                <w:szCs w:val="28"/>
                <w:lang w:eastAsia="zh-CN"/>
              </w:rPr>
              <w:t>行政区名称</w:t>
            </w:r>
          </w:p>
        </w:tc>
        <w:tc>
          <w:tcPr>
            <w:tcW w:w="867" w:type="pct"/>
            <w:tcBorders>
              <w:top w:val="single" w:color="000000" w:sz="8" w:space="0"/>
              <w:left w:val="nil"/>
              <w:bottom w:val="single" w:color="000000" w:sz="8" w:space="0"/>
              <w:right w:val="single" w:color="000000" w:sz="8" w:space="0"/>
            </w:tcBorders>
            <w:shd w:val="clear" w:color="auto" w:fill="auto"/>
            <w:vAlign w:val="center"/>
          </w:tcPr>
          <w:p w14:paraId="464780D1">
            <w:pPr>
              <w:kinsoku/>
              <w:spacing w:line="560" w:lineRule="exact"/>
              <w:jc w:val="center"/>
              <w:rPr>
                <w:rFonts w:hint="eastAsia" w:ascii="黑体" w:hAnsi="黑体" w:eastAsia="黑体" w:cs="黑体"/>
                <w:bCs/>
                <w:color w:val="auto"/>
                <w:sz w:val="28"/>
                <w:szCs w:val="28"/>
                <w:lang w:eastAsia="zh-CN"/>
              </w:rPr>
            </w:pPr>
            <w:r>
              <w:rPr>
                <w:rFonts w:hint="eastAsia" w:ascii="黑体" w:hAnsi="黑体" w:eastAsia="黑体" w:cs="黑体"/>
                <w:bCs/>
                <w:color w:val="auto"/>
                <w:sz w:val="28"/>
                <w:szCs w:val="28"/>
                <w:lang w:eastAsia="zh-CN"/>
              </w:rPr>
              <w:t>2019年前确定耕地保护目标总数（二调）</w:t>
            </w:r>
          </w:p>
        </w:tc>
        <w:tc>
          <w:tcPr>
            <w:tcW w:w="1034" w:type="pct"/>
            <w:tcBorders>
              <w:top w:val="single" w:color="000000" w:sz="8" w:space="0"/>
              <w:left w:val="nil"/>
              <w:bottom w:val="single" w:color="000000" w:sz="8" w:space="0"/>
              <w:right w:val="single" w:color="000000" w:sz="8" w:space="0"/>
            </w:tcBorders>
            <w:shd w:val="clear" w:color="auto" w:fill="auto"/>
            <w:vAlign w:val="center"/>
          </w:tcPr>
          <w:p w14:paraId="4025BD39">
            <w:pPr>
              <w:kinsoku/>
              <w:spacing w:line="560" w:lineRule="exact"/>
              <w:jc w:val="center"/>
              <w:rPr>
                <w:rFonts w:hint="eastAsia" w:ascii="黑体" w:hAnsi="黑体" w:eastAsia="黑体" w:cs="黑体"/>
                <w:bCs/>
                <w:color w:val="auto"/>
                <w:sz w:val="28"/>
                <w:szCs w:val="28"/>
                <w:lang w:eastAsia="zh-CN"/>
              </w:rPr>
            </w:pPr>
            <w:r>
              <w:rPr>
                <w:rFonts w:hint="eastAsia" w:ascii="黑体" w:hAnsi="黑体" w:eastAsia="黑体" w:cs="黑体"/>
                <w:bCs/>
                <w:color w:val="auto"/>
                <w:sz w:val="28"/>
                <w:szCs w:val="28"/>
                <w:lang w:eastAsia="zh-CN"/>
              </w:rPr>
              <w:t>2020年后确定耕地保护目标总数（三调）</w:t>
            </w:r>
          </w:p>
        </w:tc>
        <w:tc>
          <w:tcPr>
            <w:tcW w:w="812" w:type="pct"/>
            <w:tcBorders>
              <w:top w:val="single" w:color="000000" w:sz="8" w:space="0"/>
              <w:left w:val="nil"/>
              <w:bottom w:val="single" w:color="000000" w:sz="8" w:space="0"/>
              <w:right w:val="single" w:color="000000" w:sz="8" w:space="0"/>
            </w:tcBorders>
            <w:shd w:val="clear" w:color="auto" w:fill="auto"/>
            <w:vAlign w:val="center"/>
          </w:tcPr>
          <w:p w14:paraId="02D911BF">
            <w:pPr>
              <w:kinsoku/>
              <w:spacing w:line="560" w:lineRule="exact"/>
              <w:jc w:val="center"/>
              <w:rPr>
                <w:rFonts w:hint="eastAsia" w:ascii="黑体" w:hAnsi="黑体" w:eastAsia="黑体" w:cs="黑体"/>
                <w:bCs/>
                <w:color w:val="auto"/>
                <w:sz w:val="28"/>
                <w:szCs w:val="28"/>
                <w:lang w:eastAsia="zh-CN"/>
              </w:rPr>
            </w:pPr>
            <w:r>
              <w:rPr>
                <w:rFonts w:hint="eastAsia" w:ascii="黑体" w:hAnsi="黑体" w:eastAsia="黑体" w:cs="黑体"/>
                <w:bCs/>
                <w:color w:val="auto"/>
                <w:sz w:val="28"/>
                <w:szCs w:val="28"/>
                <w:lang w:eastAsia="zh-CN"/>
              </w:rPr>
              <w:t>耕地恢复任务缺口数（2019年-2020年差值）</w:t>
            </w:r>
          </w:p>
        </w:tc>
        <w:tc>
          <w:tcPr>
            <w:tcW w:w="764" w:type="pct"/>
            <w:tcBorders>
              <w:top w:val="single" w:color="000000" w:sz="8" w:space="0"/>
              <w:left w:val="nil"/>
              <w:bottom w:val="single" w:color="000000" w:sz="8" w:space="0"/>
              <w:right w:val="single" w:color="000000" w:sz="8" w:space="0"/>
            </w:tcBorders>
            <w:shd w:val="clear" w:color="auto" w:fill="auto"/>
            <w:vAlign w:val="center"/>
          </w:tcPr>
          <w:p w14:paraId="5C8A7E4A">
            <w:pPr>
              <w:kinsoku/>
              <w:spacing w:line="560" w:lineRule="exact"/>
              <w:jc w:val="center"/>
              <w:rPr>
                <w:rFonts w:hint="eastAsia" w:ascii="黑体" w:hAnsi="黑体" w:eastAsia="黑体" w:cs="黑体"/>
                <w:bCs/>
                <w:color w:val="auto"/>
                <w:sz w:val="28"/>
                <w:szCs w:val="28"/>
                <w:lang w:eastAsia="zh-CN"/>
              </w:rPr>
            </w:pPr>
            <w:r>
              <w:rPr>
                <w:rFonts w:hint="eastAsia" w:ascii="黑体" w:hAnsi="黑体" w:eastAsia="黑体" w:cs="黑体"/>
                <w:bCs/>
                <w:color w:val="auto"/>
                <w:sz w:val="28"/>
                <w:szCs w:val="28"/>
                <w:lang w:eastAsia="zh-CN"/>
              </w:rPr>
              <w:t>2023年度恢复任务（按缺口的10%）</w:t>
            </w:r>
          </w:p>
        </w:tc>
        <w:tc>
          <w:tcPr>
            <w:tcW w:w="771" w:type="pct"/>
            <w:tcBorders>
              <w:top w:val="single" w:color="000000" w:sz="8" w:space="0"/>
              <w:left w:val="nil"/>
              <w:bottom w:val="single" w:color="000000" w:sz="8" w:space="0"/>
              <w:right w:val="single" w:color="000000" w:sz="8" w:space="0"/>
            </w:tcBorders>
            <w:shd w:val="clear" w:color="auto" w:fill="auto"/>
            <w:vAlign w:val="center"/>
          </w:tcPr>
          <w:p w14:paraId="481BB5AD">
            <w:pPr>
              <w:kinsoku/>
              <w:spacing w:line="560" w:lineRule="exact"/>
              <w:jc w:val="center"/>
              <w:rPr>
                <w:rFonts w:hint="eastAsia" w:ascii="黑体" w:hAnsi="黑体" w:eastAsia="黑体" w:cs="黑体"/>
                <w:bCs/>
                <w:color w:val="auto"/>
                <w:sz w:val="28"/>
                <w:szCs w:val="28"/>
                <w:lang w:eastAsia="zh-CN"/>
              </w:rPr>
            </w:pPr>
            <w:r>
              <w:rPr>
                <w:rFonts w:hint="eastAsia" w:ascii="黑体" w:hAnsi="黑体" w:eastAsia="黑体" w:cs="黑体"/>
                <w:bCs/>
                <w:color w:val="auto"/>
                <w:sz w:val="28"/>
                <w:szCs w:val="28"/>
                <w:lang w:eastAsia="zh-CN"/>
              </w:rPr>
              <w:t>2024年度恢复任务（按缺口的10%）</w:t>
            </w:r>
          </w:p>
        </w:tc>
      </w:tr>
      <w:tr w14:paraId="45AD94FF">
        <w:tblPrEx>
          <w:tblCellMar>
            <w:top w:w="0" w:type="dxa"/>
            <w:left w:w="108" w:type="dxa"/>
            <w:bottom w:w="0" w:type="dxa"/>
            <w:right w:w="108" w:type="dxa"/>
          </w:tblCellMar>
        </w:tblPrEx>
        <w:trPr>
          <w:trHeight w:val="639" w:hRule="atLeast"/>
          <w:jc w:val="center"/>
        </w:trPr>
        <w:tc>
          <w:tcPr>
            <w:tcW w:w="7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61D46F4">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景德镇市</w:t>
            </w:r>
          </w:p>
        </w:tc>
        <w:tc>
          <w:tcPr>
            <w:tcW w:w="867" w:type="pct"/>
            <w:tcBorders>
              <w:top w:val="single" w:color="000000" w:sz="8" w:space="0"/>
              <w:left w:val="nil"/>
              <w:bottom w:val="single" w:color="000000" w:sz="8" w:space="0"/>
              <w:right w:val="single" w:color="000000" w:sz="8" w:space="0"/>
            </w:tcBorders>
            <w:shd w:val="clear" w:color="auto" w:fill="auto"/>
            <w:vAlign w:val="center"/>
          </w:tcPr>
          <w:p w14:paraId="3C37EECF">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129.45</w:t>
            </w:r>
          </w:p>
        </w:tc>
        <w:tc>
          <w:tcPr>
            <w:tcW w:w="1034" w:type="pct"/>
            <w:tcBorders>
              <w:top w:val="single" w:color="000000" w:sz="8" w:space="0"/>
              <w:left w:val="nil"/>
              <w:bottom w:val="single" w:color="000000" w:sz="8" w:space="0"/>
              <w:right w:val="single" w:color="000000" w:sz="8" w:space="0"/>
            </w:tcBorders>
            <w:shd w:val="clear" w:color="auto" w:fill="auto"/>
            <w:vAlign w:val="center"/>
          </w:tcPr>
          <w:p w14:paraId="48D151D1">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120.2873</w:t>
            </w:r>
          </w:p>
        </w:tc>
        <w:tc>
          <w:tcPr>
            <w:tcW w:w="812" w:type="pct"/>
            <w:tcBorders>
              <w:top w:val="single" w:color="000000" w:sz="8" w:space="0"/>
              <w:left w:val="nil"/>
              <w:bottom w:val="single" w:color="000000" w:sz="8" w:space="0"/>
              <w:right w:val="single" w:color="000000" w:sz="8" w:space="0"/>
            </w:tcBorders>
            <w:shd w:val="clear" w:color="auto" w:fill="auto"/>
            <w:noWrap/>
            <w:vAlign w:val="center"/>
          </w:tcPr>
          <w:p w14:paraId="213C97DE">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9.1627</w:t>
            </w:r>
          </w:p>
        </w:tc>
        <w:tc>
          <w:tcPr>
            <w:tcW w:w="764" w:type="pct"/>
            <w:tcBorders>
              <w:top w:val="single" w:color="000000" w:sz="8" w:space="0"/>
              <w:left w:val="nil"/>
              <w:bottom w:val="single" w:color="000000" w:sz="8" w:space="0"/>
              <w:right w:val="single" w:color="000000" w:sz="8" w:space="0"/>
            </w:tcBorders>
            <w:shd w:val="clear" w:color="auto" w:fill="auto"/>
            <w:vAlign w:val="center"/>
          </w:tcPr>
          <w:p w14:paraId="2C9AEA6E">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0.9163</w:t>
            </w:r>
          </w:p>
        </w:tc>
        <w:tc>
          <w:tcPr>
            <w:tcW w:w="771" w:type="pct"/>
            <w:tcBorders>
              <w:top w:val="single" w:color="000000" w:sz="8" w:space="0"/>
              <w:left w:val="nil"/>
              <w:bottom w:val="single" w:color="000000" w:sz="8" w:space="0"/>
              <w:right w:val="single" w:color="000000" w:sz="8" w:space="0"/>
            </w:tcBorders>
            <w:shd w:val="clear" w:color="auto" w:fill="auto"/>
            <w:noWrap/>
            <w:vAlign w:val="center"/>
          </w:tcPr>
          <w:p w14:paraId="4E203C13">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0.9163</w:t>
            </w:r>
          </w:p>
        </w:tc>
      </w:tr>
      <w:tr w14:paraId="7D77D326">
        <w:tblPrEx>
          <w:tblCellMar>
            <w:top w:w="0" w:type="dxa"/>
            <w:left w:w="108" w:type="dxa"/>
            <w:bottom w:w="0" w:type="dxa"/>
            <w:right w:w="108" w:type="dxa"/>
          </w:tblCellMar>
        </w:tblPrEx>
        <w:trPr>
          <w:trHeight w:val="327" w:hRule="atLeast"/>
          <w:jc w:val="center"/>
        </w:trPr>
        <w:tc>
          <w:tcPr>
            <w:tcW w:w="7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39CA49">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珠山区</w:t>
            </w:r>
          </w:p>
        </w:tc>
        <w:tc>
          <w:tcPr>
            <w:tcW w:w="867" w:type="pct"/>
            <w:tcBorders>
              <w:top w:val="single" w:color="000000" w:sz="8" w:space="0"/>
              <w:left w:val="nil"/>
              <w:bottom w:val="single" w:color="000000" w:sz="8" w:space="0"/>
              <w:right w:val="single" w:color="000000" w:sz="8" w:space="0"/>
            </w:tcBorders>
            <w:shd w:val="clear" w:color="auto" w:fill="auto"/>
            <w:vAlign w:val="center"/>
          </w:tcPr>
          <w:p w14:paraId="57122F94">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0.4211</w:t>
            </w:r>
          </w:p>
        </w:tc>
        <w:tc>
          <w:tcPr>
            <w:tcW w:w="1034" w:type="pct"/>
            <w:tcBorders>
              <w:top w:val="single" w:color="000000" w:sz="8" w:space="0"/>
              <w:left w:val="nil"/>
              <w:bottom w:val="single" w:color="000000" w:sz="8" w:space="0"/>
              <w:right w:val="single" w:color="000000" w:sz="8" w:space="0"/>
            </w:tcBorders>
            <w:shd w:val="clear" w:color="auto" w:fill="auto"/>
            <w:vAlign w:val="center"/>
          </w:tcPr>
          <w:p w14:paraId="6FB83188">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0.5707</w:t>
            </w:r>
          </w:p>
        </w:tc>
        <w:tc>
          <w:tcPr>
            <w:tcW w:w="812" w:type="pct"/>
            <w:tcBorders>
              <w:top w:val="single" w:color="000000" w:sz="8" w:space="0"/>
              <w:left w:val="nil"/>
              <w:bottom w:val="single" w:color="000000" w:sz="8" w:space="0"/>
              <w:right w:val="single" w:color="000000" w:sz="8" w:space="0"/>
            </w:tcBorders>
            <w:shd w:val="clear" w:color="auto" w:fill="auto"/>
            <w:noWrap/>
            <w:vAlign w:val="center"/>
          </w:tcPr>
          <w:p w14:paraId="08511669">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-0.1496</w:t>
            </w:r>
          </w:p>
        </w:tc>
        <w:tc>
          <w:tcPr>
            <w:tcW w:w="764" w:type="pct"/>
            <w:tcBorders>
              <w:top w:val="single" w:color="000000" w:sz="8" w:space="0"/>
              <w:left w:val="nil"/>
              <w:bottom w:val="single" w:color="000000" w:sz="8" w:space="0"/>
              <w:right w:val="single" w:color="000000" w:sz="8" w:space="0"/>
            </w:tcBorders>
            <w:shd w:val="clear" w:color="auto" w:fill="auto"/>
            <w:vAlign w:val="center"/>
          </w:tcPr>
          <w:p w14:paraId="29D5721E">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0</w:t>
            </w:r>
          </w:p>
        </w:tc>
        <w:tc>
          <w:tcPr>
            <w:tcW w:w="771" w:type="pct"/>
            <w:tcBorders>
              <w:top w:val="single" w:color="000000" w:sz="8" w:space="0"/>
              <w:left w:val="nil"/>
              <w:bottom w:val="single" w:color="000000" w:sz="8" w:space="0"/>
              <w:right w:val="single" w:color="000000" w:sz="8" w:space="0"/>
            </w:tcBorders>
            <w:shd w:val="clear" w:color="auto" w:fill="auto"/>
            <w:vAlign w:val="center"/>
          </w:tcPr>
          <w:p w14:paraId="7C87B6AC">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0</w:t>
            </w:r>
          </w:p>
        </w:tc>
      </w:tr>
      <w:tr w14:paraId="5A200A6A">
        <w:tblPrEx>
          <w:tblCellMar>
            <w:top w:w="0" w:type="dxa"/>
            <w:left w:w="108" w:type="dxa"/>
            <w:bottom w:w="0" w:type="dxa"/>
            <w:right w:w="108" w:type="dxa"/>
          </w:tblCellMar>
        </w:tblPrEx>
        <w:trPr>
          <w:trHeight w:val="327" w:hRule="atLeast"/>
          <w:jc w:val="center"/>
        </w:trPr>
        <w:tc>
          <w:tcPr>
            <w:tcW w:w="7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EC63F2">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昌江区</w:t>
            </w:r>
          </w:p>
        </w:tc>
        <w:tc>
          <w:tcPr>
            <w:tcW w:w="867" w:type="pct"/>
            <w:tcBorders>
              <w:top w:val="single" w:color="000000" w:sz="8" w:space="0"/>
              <w:left w:val="nil"/>
              <w:bottom w:val="single" w:color="000000" w:sz="8" w:space="0"/>
              <w:right w:val="single" w:color="000000" w:sz="8" w:space="0"/>
            </w:tcBorders>
            <w:shd w:val="clear" w:color="auto" w:fill="auto"/>
            <w:vAlign w:val="center"/>
          </w:tcPr>
          <w:p w14:paraId="1FC32098">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7.7618</w:t>
            </w:r>
          </w:p>
        </w:tc>
        <w:tc>
          <w:tcPr>
            <w:tcW w:w="1034" w:type="pct"/>
            <w:tcBorders>
              <w:top w:val="single" w:color="000000" w:sz="8" w:space="0"/>
              <w:left w:val="nil"/>
              <w:bottom w:val="single" w:color="000000" w:sz="8" w:space="0"/>
              <w:right w:val="single" w:color="000000" w:sz="8" w:space="0"/>
            </w:tcBorders>
            <w:shd w:val="clear" w:color="auto" w:fill="auto"/>
            <w:vAlign w:val="center"/>
          </w:tcPr>
          <w:p w14:paraId="1BC62D6E">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7.3041</w:t>
            </w:r>
          </w:p>
        </w:tc>
        <w:tc>
          <w:tcPr>
            <w:tcW w:w="812" w:type="pct"/>
            <w:tcBorders>
              <w:top w:val="single" w:color="000000" w:sz="8" w:space="0"/>
              <w:left w:val="nil"/>
              <w:bottom w:val="single" w:color="000000" w:sz="8" w:space="0"/>
              <w:right w:val="single" w:color="000000" w:sz="8" w:space="0"/>
            </w:tcBorders>
            <w:shd w:val="clear" w:color="auto" w:fill="auto"/>
            <w:noWrap/>
            <w:vAlign w:val="center"/>
          </w:tcPr>
          <w:p w14:paraId="1CC99002">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0.4577</w:t>
            </w:r>
          </w:p>
        </w:tc>
        <w:tc>
          <w:tcPr>
            <w:tcW w:w="764" w:type="pct"/>
            <w:tcBorders>
              <w:top w:val="single" w:color="000000" w:sz="8" w:space="0"/>
              <w:left w:val="nil"/>
              <w:bottom w:val="single" w:color="000000" w:sz="8" w:space="0"/>
              <w:right w:val="single" w:color="000000" w:sz="8" w:space="0"/>
            </w:tcBorders>
            <w:shd w:val="clear" w:color="auto" w:fill="auto"/>
            <w:vAlign w:val="center"/>
          </w:tcPr>
          <w:p w14:paraId="7BA6554B">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0.0458</w:t>
            </w:r>
          </w:p>
        </w:tc>
        <w:tc>
          <w:tcPr>
            <w:tcW w:w="771" w:type="pct"/>
            <w:tcBorders>
              <w:top w:val="single" w:color="000000" w:sz="8" w:space="0"/>
              <w:left w:val="nil"/>
              <w:bottom w:val="single" w:color="000000" w:sz="8" w:space="0"/>
              <w:right w:val="single" w:color="000000" w:sz="8" w:space="0"/>
            </w:tcBorders>
            <w:shd w:val="clear" w:color="auto" w:fill="auto"/>
            <w:noWrap/>
            <w:vAlign w:val="center"/>
          </w:tcPr>
          <w:p w14:paraId="372323C5">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0.0458</w:t>
            </w:r>
          </w:p>
        </w:tc>
      </w:tr>
      <w:tr w14:paraId="05F67223">
        <w:tblPrEx>
          <w:tblCellMar>
            <w:top w:w="0" w:type="dxa"/>
            <w:left w:w="108" w:type="dxa"/>
            <w:bottom w:w="0" w:type="dxa"/>
            <w:right w:w="108" w:type="dxa"/>
          </w:tblCellMar>
        </w:tblPrEx>
        <w:trPr>
          <w:trHeight w:val="327" w:hRule="atLeast"/>
          <w:jc w:val="center"/>
        </w:trPr>
        <w:tc>
          <w:tcPr>
            <w:tcW w:w="7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A3C7A26">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浮梁县</w:t>
            </w:r>
          </w:p>
        </w:tc>
        <w:tc>
          <w:tcPr>
            <w:tcW w:w="867" w:type="pct"/>
            <w:tcBorders>
              <w:top w:val="single" w:color="000000" w:sz="8" w:space="0"/>
              <w:left w:val="nil"/>
              <w:bottom w:val="single" w:color="000000" w:sz="8" w:space="0"/>
              <w:right w:val="single" w:color="000000" w:sz="8" w:space="0"/>
            </w:tcBorders>
            <w:shd w:val="clear" w:color="auto" w:fill="auto"/>
            <w:vAlign w:val="center"/>
          </w:tcPr>
          <w:p w14:paraId="1D26BE07">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34.5213</w:t>
            </w:r>
          </w:p>
        </w:tc>
        <w:tc>
          <w:tcPr>
            <w:tcW w:w="1034" w:type="pct"/>
            <w:tcBorders>
              <w:top w:val="single" w:color="000000" w:sz="8" w:space="0"/>
              <w:left w:val="nil"/>
              <w:bottom w:val="single" w:color="000000" w:sz="8" w:space="0"/>
              <w:right w:val="single" w:color="000000" w:sz="8" w:space="0"/>
            </w:tcBorders>
            <w:shd w:val="clear" w:color="auto" w:fill="auto"/>
            <w:vAlign w:val="center"/>
          </w:tcPr>
          <w:p w14:paraId="7254CB30">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31.9999</w:t>
            </w:r>
          </w:p>
        </w:tc>
        <w:tc>
          <w:tcPr>
            <w:tcW w:w="812" w:type="pct"/>
            <w:tcBorders>
              <w:top w:val="single" w:color="000000" w:sz="8" w:space="0"/>
              <w:left w:val="nil"/>
              <w:bottom w:val="single" w:color="000000" w:sz="8" w:space="0"/>
              <w:right w:val="single" w:color="000000" w:sz="8" w:space="0"/>
            </w:tcBorders>
            <w:shd w:val="clear" w:color="auto" w:fill="auto"/>
            <w:noWrap/>
            <w:vAlign w:val="center"/>
          </w:tcPr>
          <w:p w14:paraId="3A03D691">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2.5214</w:t>
            </w:r>
          </w:p>
        </w:tc>
        <w:tc>
          <w:tcPr>
            <w:tcW w:w="764" w:type="pct"/>
            <w:tcBorders>
              <w:top w:val="single" w:color="000000" w:sz="8" w:space="0"/>
              <w:left w:val="nil"/>
              <w:bottom w:val="single" w:color="000000" w:sz="8" w:space="0"/>
              <w:right w:val="single" w:color="000000" w:sz="8" w:space="0"/>
            </w:tcBorders>
            <w:shd w:val="clear" w:color="auto" w:fill="auto"/>
            <w:vAlign w:val="center"/>
          </w:tcPr>
          <w:p w14:paraId="404B4255">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0.2521</w:t>
            </w:r>
          </w:p>
        </w:tc>
        <w:tc>
          <w:tcPr>
            <w:tcW w:w="771" w:type="pct"/>
            <w:tcBorders>
              <w:top w:val="single" w:color="000000" w:sz="8" w:space="0"/>
              <w:left w:val="nil"/>
              <w:bottom w:val="single" w:color="000000" w:sz="8" w:space="0"/>
              <w:right w:val="single" w:color="000000" w:sz="8" w:space="0"/>
            </w:tcBorders>
            <w:shd w:val="clear" w:color="auto" w:fill="auto"/>
            <w:noWrap/>
            <w:vAlign w:val="center"/>
          </w:tcPr>
          <w:p w14:paraId="223C7F90">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0.2521</w:t>
            </w:r>
          </w:p>
        </w:tc>
      </w:tr>
      <w:tr w14:paraId="5D1B7884">
        <w:tblPrEx>
          <w:tblCellMar>
            <w:top w:w="0" w:type="dxa"/>
            <w:left w:w="108" w:type="dxa"/>
            <w:bottom w:w="0" w:type="dxa"/>
            <w:right w:w="108" w:type="dxa"/>
          </w:tblCellMar>
        </w:tblPrEx>
        <w:trPr>
          <w:trHeight w:val="327" w:hRule="atLeast"/>
          <w:jc w:val="center"/>
        </w:trPr>
        <w:tc>
          <w:tcPr>
            <w:tcW w:w="7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854C61">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乐平市</w:t>
            </w:r>
          </w:p>
        </w:tc>
        <w:tc>
          <w:tcPr>
            <w:tcW w:w="867" w:type="pct"/>
            <w:tcBorders>
              <w:top w:val="single" w:color="000000" w:sz="8" w:space="0"/>
              <w:left w:val="nil"/>
              <w:bottom w:val="single" w:color="000000" w:sz="8" w:space="0"/>
              <w:right w:val="single" w:color="000000" w:sz="8" w:space="0"/>
            </w:tcBorders>
            <w:shd w:val="clear" w:color="auto" w:fill="auto"/>
            <w:vAlign w:val="center"/>
          </w:tcPr>
          <w:p w14:paraId="46D010C3">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86.7458</w:t>
            </w:r>
          </w:p>
        </w:tc>
        <w:tc>
          <w:tcPr>
            <w:tcW w:w="1034" w:type="pct"/>
            <w:tcBorders>
              <w:top w:val="single" w:color="000000" w:sz="8" w:space="0"/>
              <w:left w:val="nil"/>
              <w:bottom w:val="single" w:color="000000" w:sz="8" w:space="0"/>
              <w:right w:val="single" w:color="000000" w:sz="8" w:space="0"/>
            </w:tcBorders>
            <w:shd w:val="clear" w:color="auto" w:fill="auto"/>
            <w:vAlign w:val="center"/>
          </w:tcPr>
          <w:p w14:paraId="371FD56B">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80.4127</w:t>
            </w:r>
          </w:p>
        </w:tc>
        <w:tc>
          <w:tcPr>
            <w:tcW w:w="812" w:type="pct"/>
            <w:tcBorders>
              <w:top w:val="single" w:color="000000" w:sz="8" w:space="0"/>
              <w:left w:val="nil"/>
              <w:bottom w:val="single" w:color="000000" w:sz="8" w:space="0"/>
              <w:right w:val="single" w:color="000000" w:sz="8" w:space="0"/>
            </w:tcBorders>
            <w:shd w:val="clear" w:color="auto" w:fill="auto"/>
            <w:noWrap/>
            <w:vAlign w:val="center"/>
          </w:tcPr>
          <w:p w14:paraId="5B4B35C6">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6.3331</w:t>
            </w:r>
          </w:p>
        </w:tc>
        <w:tc>
          <w:tcPr>
            <w:tcW w:w="764" w:type="pct"/>
            <w:tcBorders>
              <w:top w:val="single" w:color="000000" w:sz="8" w:space="0"/>
              <w:left w:val="nil"/>
              <w:bottom w:val="single" w:color="000000" w:sz="8" w:space="0"/>
              <w:right w:val="single" w:color="000000" w:sz="8" w:space="0"/>
            </w:tcBorders>
            <w:shd w:val="clear" w:color="auto" w:fill="auto"/>
            <w:vAlign w:val="center"/>
          </w:tcPr>
          <w:p w14:paraId="6F5AC6D7">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0.6333</w:t>
            </w:r>
          </w:p>
        </w:tc>
        <w:tc>
          <w:tcPr>
            <w:tcW w:w="771" w:type="pct"/>
            <w:tcBorders>
              <w:top w:val="single" w:color="000000" w:sz="8" w:space="0"/>
              <w:left w:val="nil"/>
              <w:bottom w:val="single" w:color="000000" w:sz="8" w:space="0"/>
              <w:right w:val="single" w:color="000000" w:sz="8" w:space="0"/>
            </w:tcBorders>
            <w:shd w:val="clear" w:color="auto" w:fill="auto"/>
            <w:noWrap/>
            <w:vAlign w:val="center"/>
          </w:tcPr>
          <w:p w14:paraId="088B251D">
            <w:pPr>
              <w:kinsoku/>
              <w:spacing w:line="560" w:lineRule="exact"/>
              <w:jc w:val="center"/>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0.6333</w:t>
            </w:r>
          </w:p>
        </w:tc>
      </w:tr>
      <w:tr w14:paraId="377119CA">
        <w:tblPrEx>
          <w:tblCellMar>
            <w:top w:w="0" w:type="dxa"/>
            <w:left w:w="108" w:type="dxa"/>
            <w:bottom w:w="0" w:type="dxa"/>
            <w:right w:w="108" w:type="dxa"/>
          </w:tblCellMar>
        </w:tblPrEx>
        <w:trPr>
          <w:trHeight w:val="533" w:hRule="atLeast"/>
          <w:jc w:val="center"/>
        </w:trPr>
        <w:tc>
          <w:tcPr>
            <w:tcW w:w="5000" w:type="pct"/>
            <w:gridSpan w:val="6"/>
            <w:tcBorders>
              <w:top w:val="nil"/>
              <w:left w:val="nil"/>
              <w:bottom w:val="nil"/>
              <w:right w:val="nil"/>
            </w:tcBorders>
            <w:shd w:val="clear" w:color="auto" w:fill="auto"/>
            <w:vAlign w:val="center"/>
          </w:tcPr>
          <w:p w14:paraId="01EB3586">
            <w:pPr>
              <w:kinsoku/>
              <w:spacing w:line="560" w:lineRule="exact"/>
              <w:rPr>
                <w:rFonts w:hint="eastAsia" w:ascii="方正仿宋_GB2312" w:hAnsi="方正仿宋_GB2312" w:eastAsia="方正仿宋_GB2312" w:cs="方正仿宋_GB2312"/>
                <w:bCs/>
                <w:color w:val="auto"/>
                <w:sz w:val="28"/>
                <w:szCs w:val="28"/>
                <w:lang w:eastAsia="zh-CN"/>
              </w:rPr>
            </w:pPr>
            <w:r>
              <w:rPr>
                <w:rFonts w:hint="eastAsia" w:ascii="方正仿宋_GB2312" w:hAnsi="方正仿宋_GB2312" w:eastAsia="方正仿宋_GB2312" w:cs="方正仿宋_GB2312"/>
                <w:bCs/>
                <w:color w:val="auto"/>
                <w:sz w:val="28"/>
                <w:szCs w:val="28"/>
                <w:lang w:eastAsia="zh-CN"/>
              </w:rPr>
              <w:t>注：1.耕地恢复任务以国家、省最新政策适时调整；2.耕地缺口恢复任务数以省厅确定数为准。</w:t>
            </w:r>
          </w:p>
        </w:tc>
      </w:tr>
    </w:tbl>
    <w:p w14:paraId="08F73880">
      <w:pPr>
        <w:rPr>
          <w:lang w:eastAsia="zh-CN"/>
        </w:rPr>
      </w:pPr>
    </w:p>
    <w:p w14:paraId="54D6E86D">
      <w:pPr>
        <w:rPr>
          <w:lang w:eastAsia="zh-CN"/>
        </w:rPr>
      </w:pPr>
    </w:p>
    <w:sectPr>
      <w:pgSz w:w="16838" w:h="11906" w:orient="landscape"/>
      <w:pgMar w:top="1803" w:right="1440" w:bottom="1803" w:left="144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CF654839-8858-4344-B074-0E872E5C47AE}"/>
  </w:font>
  <w:font w:name="宋体">
    <w:panose1 w:val="02010600030101010101"/>
    <w:charset w:val="86"/>
    <w:family w:val="auto"/>
    <w:pitch w:val="default"/>
    <w:sig w:usb0="00000203" w:usb1="288F0000" w:usb2="00000006" w:usb3="00000000" w:csb0="00040001" w:csb1="00000000"/>
    <w:embedRegular r:id="rId2" w:fontKey="{A6D51889-0F84-4EDC-B67E-3295AA0EF230}"/>
  </w:font>
  <w:font w:name="Wingdings">
    <w:panose1 w:val="05000000000000000000"/>
    <w:charset w:val="02"/>
    <w:family w:val="auto"/>
    <w:pitch w:val="default"/>
    <w:sig w:usb0="00000000" w:usb1="00000000" w:usb2="00000000" w:usb3="00000000" w:csb0="80000000" w:csb1="00000000"/>
    <w:embedRegular r:id="rId3" w:fontKey="{02761B5D-9491-458D-B290-094F14363934}"/>
  </w:font>
  <w:font w:name="Arial">
    <w:panose1 w:val="020B0604020202020204"/>
    <w:charset w:val="01"/>
    <w:family w:val="swiss"/>
    <w:pitch w:val="default"/>
    <w:sig w:usb0="E0002EFF" w:usb1="C000785B" w:usb2="00000009" w:usb3="00000000" w:csb0="400001FF" w:csb1="FFFF0000"/>
    <w:embedRegular r:id="rId4" w:fontKey="{2703A533-2E47-4E5A-896D-AB56EF9230F1}"/>
  </w:font>
  <w:font w:name="黑体">
    <w:panose1 w:val="02010609060101010101"/>
    <w:charset w:val="86"/>
    <w:family w:val="auto"/>
    <w:pitch w:val="default"/>
    <w:sig w:usb0="800002BF" w:usb1="38CF7CFA" w:usb2="00000016" w:usb3="00000000" w:csb0="00040001" w:csb1="00000000"/>
    <w:embedRegular r:id="rId5" w:fontKey="{10FF6529-330E-499C-B3A7-87423D1E0D81}"/>
  </w:font>
  <w:font w:name="Courier New">
    <w:panose1 w:val="02070309020205020404"/>
    <w:charset w:val="01"/>
    <w:family w:val="modern"/>
    <w:pitch w:val="default"/>
    <w:sig w:usb0="E0002EFF" w:usb1="C0007843" w:usb2="00000009" w:usb3="00000000" w:csb0="400001FF" w:csb1="FFFF0000"/>
    <w:embedRegular r:id="rId6" w:fontKey="{005971E6-F289-4C66-B011-941D92B36C3F}"/>
  </w:font>
  <w:font w:name="Symbol">
    <w:panose1 w:val="05050102010706020507"/>
    <w:charset w:val="02"/>
    <w:family w:val="roman"/>
    <w:pitch w:val="default"/>
    <w:sig w:usb0="00000000" w:usb1="00000000" w:usb2="00000000" w:usb3="00000000" w:csb0="80000000" w:csb1="00000000"/>
    <w:embedRegular r:id="rId7" w:fontKey="{EFAB9605-E29D-40FA-937D-291782944FAE}"/>
  </w:font>
  <w:font w:name="Calibri">
    <w:panose1 w:val="020F0502020204030204"/>
    <w:charset w:val="00"/>
    <w:family w:val="swiss"/>
    <w:pitch w:val="default"/>
    <w:sig w:usb0="E4002EFF" w:usb1="C200247B" w:usb2="00000009" w:usb3="00000000" w:csb0="200001FF" w:csb1="00000000"/>
    <w:embedRegular r:id="rId8" w:fontKey="{46429AAE-F10C-4C99-9B7D-54CB0A5051E6}"/>
  </w:font>
  <w:font w:name="Arial">
    <w:panose1 w:val="020B0604020202020204"/>
    <w:charset w:val="00"/>
    <w:family w:val="swiss"/>
    <w:pitch w:val="default"/>
    <w:sig w:usb0="E0002EFF" w:usb1="C000785B" w:usb2="00000009" w:usb3="00000000" w:csb0="400001FF" w:csb1="FFFF0000"/>
    <w:embedRegular r:id="rId9" w:fontKey="{9415708E-C923-4998-8087-C62AEC3CBAE2}"/>
  </w:font>
  <w:font w:name="方正小标宋简体">
    <w:panose1 w:val="00000600000000000000"/>
    <w:charset w:val="86"/>
    <w:family w:val="auto"/>
    <w:pitch w:val="default"/>
    <w:sig w:usb0="800002BF" w:usb1="184F6CF8" w:usb2="00000012" w:usb3="00000000" w:csb0="00160001" w:csb1="12030000"/>
    <w:embedRegular r:id="rId10" w:fontKey="{D37712AA-1D70-40EF-8E57-33902BA774C8}"/>
  </w:font>
  <w:font w:name="楷体">
    <w:panose1 w:val="02010609060101010101"/>
    <w:charset w:val="86"/>
    <w:family w:val="modern"/>
    <w:pitch w:val="default"/>
    <w:sig w:usb0="800002BF" w:usb1="38CF7CFA" w:usb2="00000016" w:usb3="00000000" w:csb0="00040001" w:csb1="00000000"/>
  </w:font>
  <w:font w:name="Arial Unicode MS">
    <w:altName w:val="Malgun Gothic Semilight"/>
    <w:panose1 w:val="020B0604020202020204"/>
    <w:charset w:val="86"/>
    <w:family w:val="swiss"/>
    <w:pitch w:val="default"/>
    <w:sig w:usb0="00000000" w:usb1="00000000" w:usb2="0000003F" w:usb3="00000000" w:csb0="603F01FF" w:csb1="FFFF0000"/>
  </w:font>
  <w:font w:name="方正仿宋_GB2312">
    <w:altName w:val="微软雅黑"/>
    <w:panose1 w:val="00000000000000000000"/>
    <w:charset w:val="86"/>
    <w:family w:val="auto"/>
    <w:pitch w:val="default"/>
    <w:sig w:usb0="00000000" w:usb1="00000000" w:usb2="00000012" w:usb3="00000000" w:csb0="00040001" w:csb1="00000000"/>
    <w:embedRegular r:id="rId11" w:fontKey="{7C31B407-A363-46C7-8B91-52FF1D3D27FD}"/>
  </w:font>
  <w:font w:name="仿宋_GB2312">
    <w:panose1 w:val="02010609030101010101"/>
    <w:charset w:val="86"/>
    <w:family w:val="modern"/>
    <w:pitch w:val="default"/>
    <w:sig w:usb0="00000001" w:usb1="080E0000" w:usb2="00000000" w:usb3="00000000" w:csb0="00040000" w:csb1="00000000"/>
    <w:embedRegular r:id="rId12" w:fontKey="{4313ED7A-62D9-437F-A098-D0DEA3A7B1F0}"/>
  </w:font>
  <w:font w:name="微软雅黑">
    <w:panose1 w:val="020B0503020204020204"/>
    <w:charset w:val="86"/>
    <w:family w:val="auto"/>
    <w:pitch w:val="default"/>
    <w:sig w:usb0="80000287" w:usb1="2ACF3C50" w:usb2="00000016" w:usb3="00000000" w:csb0="0004001F" w:csb1="0000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88327803"/>
      <w:docPartObj>
        <w:docPartGallery w:val="AutoText"/>
      </w:docPartObj>
    </w:sdtPr>
    <w:sdtContent>
      <w:p w14:paraId="45761A65">
        <w:pPr>
          <w:pStyle w:val="7"/>
          <w:jc w:val="center"/>
          <w:rPr>
            <w:rFonts w:hint="eastAsia"/>
          </w:rPr>
        </w:pPr>
        <w:r>
          <w:fldChar w:fldCharType="begin"/>
        </w:r>
        <w:r>
          <w:instrText xml:space="preserve">PAGE   \* MERGEFORMAT</w:instrText>
        </w:r>
        <w:r>
          <w:fldChar w:fldCharType="separate"/>
        </w:r>
        <w:r>
          <w:rPr>
            <w:lang w:val="zh-CN" w:eastAsia="zh-CN"/>
          </w:rPr>
          <w:t>2</w:t>
        </w:r>
        <w:r>
          <w:fldChar w:fldCharType="end"/>
        </w:r>
      </w:p>
    </w:sdtContent>
  </w:sdt>
  <w:p w14:paraId="35B57AA8">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documentProtection w:enforcement="0"/>
  <w:defaultTabStop w:val="420"/>
  <w:drawingGridVerticalSpacing w:val="159"/>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NkY2RkZTE4MTg2M2VkOGY1MDJjMjc2YjA4NmU4MWIifQ=="/>
    <w:docVar w:name="KSO_WPS_MARK_KEY" w:val="3922a77d-9218-4887-be27-1c5ff6a255e9"/>
  </w:docVars>
  <w:rsids>
    <w:rsidRoot w:val="293818A4"/>
    <w:rsid w:val="000B2204"/>
    <w:rsid w:val="002050D1"/>
    <w:rsid w:val="0038074F"/>
    <w:rsid w:val="00390006"/>
    <w:rsid w:val="003B252B"/>
    <w:rsid w:val="003B2F95"/>
    <w:rsid w:val="00420D01"/>
    <w:rsid w:val="005957AA"/>
    <w:rsid w:val="006223E1"/>
    <w:rsid w:val="00915076"/>
    <w:rsid w:val="00AA44CE"/>
    <w:rsid w:val="00C03D05"/>
    <w:rsid w:val="00D5019F"/>
    <w:rsid w:val="00F74687"/>
    <w:rsid w:val="0B1D6D8F"/>
    <w:rsid w:val="0F2D4C10"/>
    <w:rsid w:val="14261C6B"/>
    <w:rsid w:val="15E41E4C"/>
    <w:rsid w:val="293818A4"/>
    <w:rsid w:val="2A581EDD"/>
    <w:rsid w:val="43CF7D38"/>
    <w:rsid w:val="70DC134F"/>
    <w:rsid w:val="7B8E485B"/>
    <w:rsid w:val="7DCD35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qFormat/>
    <w:uiPriority w:val="0"/>
    <w:pPr>
      <w:keepNext/>
      <w:keepLines/>
      <w:spacing w:line="600" w:lineRule="exact"/>
      <w:jc w:val="center"/>
      <w:outlineLvl w:val="0"/>
    </w:pPr>
    <w:rPr>
      <w:rFonts w:eastAsia="方正小标宋简体"/>
      <w:kern w:val="44"/>
      <w:sz w:val="44"/>
    </w:rPr>
  </w:style>
  <w:style w:type="paragraph" w:styleId="3">
    <w:name w:val="heading 2"/>
    <w:basedOn w:val="1"/>
    <w:next w:val="1"/>
    <w:semiHidden/>
    <w:unhideWhenUsed/>
    <w:qFormat/>
    <w:uiPriority w:val="0"/>
    <w:pPr>
      <w:keepNext/>
      <w:keepLines/>
      <w:spacing w:line="600" w:lineRule="exact"/>
      <w:ind w:firstLine="880" w:firstLineChars="200"/>
      <w:outlineLvl w:val="1"/>
    </w:pPr>
    <w:rPr>
      <w:rFonts w:eastAsia="黑体"/>
      <w:sz w:val="32"/>
    </w:rPr>
  </w:style>
  <w:style w:type="paragraph" w:styleId="4">
    <w:name w:val="heading 3"/>
    <w:basedOn w:val="1"/>
    <w:next w:val="1"/>
    <w:semiHidden/>
    <w:unhideWhenUsed/>
    <w:qFormat/>
    <w:uiPriority w:val="0"/>
    <w:pPr>
      <w:keepNext/>
      <w:keepLines/>
      <w:spacing w:line="600" w:lineRule="exact"/>
      <w:ind w:firstLine="880" w:firstLineChars="200"/>
      <w:outlineLvl w:val="2"/>
    </w:pPr>
    <w:rPr>
      <w:rFonts w:eastAsia="楷体" w:asciiTheme="minorHAnsi" w:hAnsiTheme="minorHAnsi"/>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index 5"/>
    <w:basedOn w:val="1"/>
    <w:next w:val="1"/>
    <w:qFormat/>
    <w:uiPriority w:val="0"/>
    <w:pPr>
      <w:ind w:left="1680"/>
    </w:pPr>
  </w:style>
  <w:style w:type="paragraph" w:styleId="6">
    <w:name w:val="Body Text"/>
    <w:basedOn w:val="1"/>
    <w:next w:val="5"/>
    <w:link w:val="12"/>
    <w:qFormat/>
    <w:uiPriority w:val="1"/>
    <w:pPr>
      <w:ind w:left="151"/>
    </w:pPr>
    <w:rPr>
      <w:rFonts w:ascii="Arial Unicode MS" w:hAnsi="Arial Unicode MS" w:eastAsia="Arial Unicode MS" w:cs="Arial Unicode MS"/>
      <w:sz w:val="32"/>
      <w:szCs w:val="32"/>
      <w:lang w:val="zh-CN" w:bidi="zh-CN"/>
    </w:rPr>
  </w:style>
  <w:style w:type="paragraph" w:styleId="7">
    <w:name w:val="footer"/>
    <w:basedOn w:val="1"/>
    <w:link w:val="14"/>
    <w:qFormat/>
    <w:uiPriority w:val="99"/>
    <w:pPr>
      <w:tabs>
        <w:tab w:val="center" w:pos="4153"/>
        <w:tab w:val="right" w:pos="8306"/>
      </w:tabs>
    </w:pPr>
    <w:rPr>
      <w:sz w:val="18"/>
    </w:rPr>
  </w:style>
  <w:style w:type="paragraph" w:styleId="8">
    <w:name w:val="header"/>
    <w:basedOn w:val="1"/>
    <w:link w:val="13"/>
    <w:qFormat/>
    <w:uiPriority w:val="99"/>
    <w:pPr>
      <w:tabs>
        <w:tab w:val="center" w:pos="4153"/>
        <w:tab w:val="right" w:pos="8306"/>
      </w:tabs>
      <w:jc w:val="center"/>
    </w:pPr>
    <w:rPr>
      <w:sz w:val="18"/>
      <w:szCs w:val="18"/>
    </w:rPr>
  </w:style>
  <w:style w:type="character" w:styleId="11">
    <w:name w:val="Hyperlink"/>
    <w:basedOn w:val="10"/>
    <w:qFormat/>
    <w:uiPriority w:val="0"/>
    <w:rPr>
      <w:color w:val="0000FF"/>
      <w:u w:val="single"/>
    </w:rPr>
  </w:style>
  <w:style w:type="character" w:customStyle="1" w:styleId="12">
    <w:name w:val="正文文本 字符"/>
    <w:basedOn w:val="10"/>
    <w:link w:val="6"/>
    <w:qFormat/>
    <w:uiPriority w:val="1"/>
    <w:rPr>
      <w:rFonts w:ascii="Arial Unicode MS" w:hAnsi="Arial Unicode MS" w:eastAsia="Arial Unicode MS" w:cs="Arial Unicode MS"/>
      <w:snapToGrid w:val="0"/>
      <w:color w:val="000000"/>
      <w:sz w:val="32"/>
      <w:szCs w:val="32"/>
      <w:lang w:val="zh-CN" w:eastAsia="en-US" w:bidi="zh-CN"/>
    </w:rPr>
  </w:style>
  <w:style w:type="character" w:customStyle="1" w:styleId="13">
    <w:name w:val="页眉 字符"/>
    <w:basedOn w:val="10"/>
    <w:link w:val="8"/>
    <w:qFormat/>
    <w:uiPriority w:val="99"/>
    <w:rPr>
      <w:rFonts w:ascii="Arial" w:hAnsi="Arial" w:eastAsia="Arial" w:cs="Arial"/>
      <w:snapToGrid w:val="0"/>
      <w:color w:val="000000"/>
      <w:sz w:val="18"/>
      <w:szCs w:val="18"/>
      <w:lang w:eastAsia="en-US"/>
    </w:rPr>
  </w:style>
  <w:style w:type="character" w:customStyle="1" w:styleId="14">
    <w:name w:val="页脚 字符"/>
    <w:basedOn w:val="10"/>
    <w:link w:val="7"/>
    <w:qFormat/>
    <w:uiPriority w:val="99"/>
    <w:rPr>
      <w:rFonts w:ascii="Arial" w:hAnsi="Arial" w:eastAsia="Arial" w:cs="Arial"/>
      <w:snapToGrid w:val="0"/>
      <w:color w:val="000000"/>
      <w:sz w:val="18"/>
      <w:szCs w:val="21"/>
      <w:lang w:eastAsia="en-US"/>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12691</Words>
  <Characters>13032</Characters>
  <Lines>98</Lines>
  <Paragraphs>27</Paragraphs>
  <TotalTime>71</TotalTime>
  <ScaleCrop>false</ScaleCrop>
  <LinksUpToDate>false</LinksUpToDate>
  <CharactersWithSpaces>13079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2024-08-07T01:41:00Z</dcterms:created>
  <dc:creator>yu401</dc:creator>
  <cp:lastModifiedBy>白芷</cp:lastModifiedBy>
  <cp:lastPrinted>2024-08-07T03:00:00Z</cp:lastPrinted>
  <dcterms:modified xsi:type="dcterms:W3CDTF">2024-08-20T02:40:33Z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266CD1E8B2E24F22A2DE7DA43FCEBD52_13</vt:lpwstr>
  </property>
</Properties>
</file>