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95910">
      <w:pPr>
        <w:pStyle w:val="34"/>
        <w:spacing w:before="0" w:after="0" w:line="560" w:lineRule="exact"/>
        <w:jc w:val="left"/>
        <w:rPr>
          <w:rFonts w:hint="default" w:ascii="方正小标宋简体" w:hAnsi="方正小标宋简体" w:eastAsia="方正小标宋简体" w:cs="方正小标宋简体"/>
          <w:sz w:val="44"/>
          <w:szCs w:val="44"/>
        </w:rPr>
      </w:pPr>
    </w:p>
    <w:p w14:paraId="16DAC92F">
      <w:pPr>
        <w:pStyle w:val="34"/>
        <w:widowControl w:val="0"/>
        <w:snapToGrid/>
        <w:spacing w:before="0" w:after="0" w:line="620" w:lineRule="exac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江西省自然资源资产整体评估</w:t>
      </w:r>
    </w:p>
    <w:p w14:paraId="2B03AAC6">
      <w:pPr>
        <w:pStyle w:val="34"/>
        <w:widowControl w:val="0"/>
        <w:snapToGrid/>
        <w:spacing w:before="0" w:after="0" w:line="620" w:lineRule="exac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技术指南（试行）</w:t>
      </w:r>
    </w:p>
    <w:p w14:paraId="5AA462B8">
      <w:pPr>
        <w:pStyle w:val="34"/>
        <w:spacing w:before="0" w:after="0" w:line="560" w:lineRule="exact"/>
        <w:jc w:val="left"/>
        <w:rPr>
          <w:rFonts w:ascii="楷体_GB2312" w:hAnsi="楷体_GB2312" w:eastAsia="楷体_GB2312" w:cs="楷体_GB2312"/>
        </w:rPr>
      </w:pPr>
    </w:p>
    <w:p w14:paraId="78FBF90C">
      <w:pPr>
        <w:pStyle w:val="42"/>
        <w:widowControl w:val="0"/>
        <w:adjustRightInd w:val="0"/>
        <w:spacing w:before="0" w:beforeLines="0" w:after="0" w:afterLines="0" w:line="560" w:lineRule="exact"/>
        <w:ind w:firstLine="640"/>
        <w:rPr>
          <w:rFonts w:hint="eastAsia" w:ascii="FangSong_GB2312" w:hAnsi="FangSong_GB2312" w:eastAsia="FangSong_GB2312" w:cs="FangSong_GB2312"/>
          <w:snapToGrid w:val="0"/>
          <w:sz w:val="32"/>
          <w:szCs w:val="32"/>
        </w:rPr>
      </w:pPr>
      <w:bookmarkStart w:id="0" w:name="_Toc17233333"/>
      <w:bookmarkStart w:id="1" w:name="_Toc24884218"/>
      <w:bookmarkStart w:id="2" w:name="_Toc24884211"/>
      <w:bookmarkStart w:id="3" w:name="_Toc26986530"/>
      <w:bookmarkStart w:id="4" w:name="_Toc132185290"/>
      <w:bookmarkStart w:id="5" w:name="_Toc132285859"/>
      <w:bookmarkStart w:id="6" w:name="_Toc132185028"/>
      <w:bookmarkStart w:id="7" w:name="_Toc132185094"/>
      <w:bookmarkStart w:id="8" w:name="_Toc132269019"/>
      <w:bookmarkStart w:id="9" w:name="_Toc132185159"/>
      <w:bookmarkStart w:id="10" w:name="_Toc97195091"/>
      <w:bookmarkStart w:id="11" w:name="_Toc17233325"/>
      <w:bookmarkStart w:id="12" w:name="_Toc132030941"/>
      <w:bookmarkStart w:id="13" w:name="_Toc134085013"/>
      <w:bookmarkStart w:id="14" w:name="_Toc26986771"/>
      <w:bookmarkStart w:id="15" w:name="_Toc26648465"/>
      <w:bookmarkStart w:id="16" w:name="_Toc132183534"/>
      <w:bookmarkStart w:id="17" w:name="_Toc132290132"/>
      <w:bookmarkStart w:id="18" w:name="_Toc171693058"/>
      <w:bookmarkStart w:id="19" w:name="_Toc26718930"/>
      <w:bookmarkStart w:id="20" w:name="_Toc132184963"/>
      <w:bookmarkStart w:id="21" w:name="_Toc134621193"/>
      <w:r>
        <w:rPr>
          <w:rFonts w:hint="eastAsia" w:ascii="FangSong_GB2312" w:hAnsi="FangSong_GB2312" w:eastAsia="FangSong_GB2312" w:cs="FangSong_GB2312"/>
          <w:snapToGrid w:val="0"/>
          <w:sz w:val="32"/>
          <w:szCs w:val="32"/>
        </w:rPr>
        <w:t>为科学规范自然资源资产整体评估活动，更好服务自然资源资产组合供应，推动自然资源资产价值实现，制定本指南。</w:t>
      </w:r>
    </w:p>
    <w:p w14:paraId="0D81DBDA">
      <w:pPr>
        <w:pStyle w:val="42"/>
        <w:widowControl w:val="0"/>
        <w:adjustRightInd w:val="0"/>
        <w:spacing w:before="0" w:beforeLines="0" w:after="0" w:afterLines="0" w:line="560" w:lineRule="exact"/>
        <w:ind w:firstLine="640"/>
        <w:rPr>
          <w:rFonts w:hint="eastAsia" w:hAnsi="黑体" w:cs="黑体"/>
          <w:sz w:val="32"/>
          <w:szCs w:val="32"/>
        </w:rPr>
      </w:pPr>
      <w:r>
        <w:rPr>
          <w:rFonts w:hint="eastAsia" w:hAnsi="黑体" w:cs="黑体"/>
          <w:sz w:val="32"/>
          <w:szCs w:val="32"/>
        </w:rPr>
        <w:t>1范围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1DC1089">
      <w:pPr>
        <w:pStyle w:val="36"/>
        <w:widowControl w:val="0"/>
        <w:kinsoku/>
        <w:autoSpaceDE/>
        <w:autoSpaceDN/>
        <w:adjustRightInd w:val="0"/>
        <w:snapToGrid/>
        <w:spacing w:line="560" w:lineRule="exact"/>
        <w:ind w:firstLine="640"/>
        <w:rPr>
          <w:rFonts w:ascii="FangSong_GB2312" w:hAnsi="FangSong_GB2312" w:eastAsia="FangSong_GB2312" w:cs="FangSong_GB2312"/>
          <w:color w:val="auto"/>
          <w:sz w:val="32"/>
          <w:szCs w:val="32"/>
        </w:rPr>
      </w:pPr>
      <w:bookmarkStart w:id="22" w:name="_Toc17233326"/>
      <w:bookmarkStart w:id="23" w:name="_Toc26648466"/>
      <w:bookmarkStart w:id="24" w:name="_Toc17233334"/>
      <w:bookmarkStart w:id="25" w:name="_Toc24884219"/>
      <w:bookmarkStart w:id="26" w:name="_Toc24884212"/>
      <w:r>
        <w:rPr>
          <w:rFonts w:ascii="FangSong_GB2312" w:hAnsi="FangSong_GB2312" w:eastAsia="FangSong_GB2312" w:cs="FangSong_GB2312"/>
          <w:color w:val="auto"/>
          <w:sz w:val="32"/>
          <w:szCs w:val="32"/>
        </w:rPr>
        <w:t>本指南规定了自然资源资产组合供应中自然资源资产包整体评估的基本原则、基本程序，以及价格内涵界定、评估模式选择、价格影响因素分析、技术路径与技术方法运用、成交溢价分配测算等环节的核心要求或技术方法；明确了江西省具有代表性、典型性组合特征的自然资源资产包整体评估的技术要点。</w:t>
      </w:r>
    </w:p>
    <w:p w14:paraId="53A41F3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color w:val="auto"/>
          <w:sz w:val="32"/>
          <w:szCs w:val="32"/>
        </w:rPr>
        <w:t>本文件主要适用于江西省自然资源资产组合供应中的自然资源资产包整体评估专业技术活动，其他目的或情景</w:t>
      </w:r>
      <w:r>
        <w:rPr>
          <w:rFonts w:ascii="FangSong_GB2312" w:hAnsi="FangSong_GB2312" w:eastAsia="FangSong_GB2312" w:cs="FangSong_GB2312"/>
          <w:sz w:val="32"/>
          <w:szCs w:val="32"/>
        </w:rPr>
        <w:t>下的</w:t>
      </w:r>
      <w:r>
        <w:rPr>
          <w:rFonts w:ascii="FangSong_GB2312" w:hAnsi="FangSong_GB2312" w:eastAsia="FangSong_GB2312" w:cs="FangSong_GB2312"/>
          <w:color w:val="auto"/>
          <w:sz w:val="32"/>
          <w:szCs w:val="32"/>
        </w:rPr>
        <w:t>自然资源</w:t>
      </w:r>
      <w:r>
        <w:rPr>
          <w:rFonts w:ascii="FangSong_GB2312" w:hAnsi="FangSong_GB2312" w:eastAsia="FangSong_GB2312" w:cs="FangSong_GB2312"/>
          <w:sz w:val="32"/>
          <w:szCs w:val="32"/>
        </w:rPr>
        <w:t>资产包评估可参照本文件有关规定。</w:t>
      </w:r>
    </w:p>
    <w:p w14:paraId="7E8838A6">
      <w:pPr>
        <w:pStyle w:val="42"/>
        <w:widowControl w:val="0"/>
        <w:adjustRightInd w:val="0"/>
        <w:spacing w:before="0" w:beforeLines="0" w:after="0" w:afterLines="0" w:line="560" w:lineRule="exact"/>
        <w:ind w:firstLine="640"/>
        <w:rPr>
          <w:rFonts w:hint="eastAsia" w:hAnsi="黑体" w:cs="黑体"/>
          <w:sz w:val="32"/>
          <w:szCs w:val="32"/>
        </w:rPr>
      </w:pPr>
      <w:bookmarkStart w:id="27" w:name="_Toc132185029"/>
      <w:bookmarkStart w:id="28" w:name="_Toc171693059"/>
      <w:bookmarkStart w:id="29" w:name="_Toc132185160"/>
      <w:bookmarkStart w:id="30" w:name="_Toc97195092"/>
      <w:bookmarkStart w:id="31" w:name="_Toc134621194"/>
      <w:bookmarkStart w:id="32" w:name="_Toc26718931"/>
      <w:bookmarkStart w:id="33" w:name="_Toc134085014"/>
      <w:bookmarkStart w:id="34" w:name="_Toc132290133"/>
      <w:bookmarkStart w:id="35" w:name="_Toc132184964"/>
      <w:bookmarkStart w:id="36" w:name="_Toc132185291"/>
      <w:bookmarkStart w:id="37" w:name="_Toc132183535"/>
      <w:bookmarkStart w:id="38" w:name="_Toc26986772"/>
      <w:bookmarkStart w:id="39" w:name="_Toc132030942"/>
      <w:bookmarkStart w:id="40" w:name="_Toc26986531"/>
      <w:bookmarkStart w:id="41" w:name="_Toc132285860"/>
      <w:bookmarkStart w:id="42" w:name="_Toc132185095"/>
      <w:bookmarkStart w:id="43" w:name="_Toc132269020"/>
      <w:r>
        <w:rPr>
          <w:rFonts w:hint="eastAsia" w:hAnsi="黑体" w:cs="黑体"/>
          <w:sz w:val="32"/>
          <w:szCs w:val="32"/>
        </w:rPr>
        <w:t>2规范性引用文件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13B7D3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9168D8A">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《城镇土地估价规程》GB/T 18508</w:t>
      </w:r>
    </w:p>
    <w:p w14:paraId="3F93E5C6">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《农用地估价规程》GB/T 28406</w:t>
      </w:r>
    </w:p>
    <w:p w14:paraId="476C0F1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《自然资源价格评估通则》TD/T 1061</w:t>
      </w:r>
    </w:p>
    <w:p w14:paraId="5E4A707A">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《森林资源资产评估技术规范》LY/T 2407-2015 </w:t>
      </w:r>
    </w:p>
    <w:p w14:paraId="180E04CA">
      <w:pPr>
        <w:pStyle w:val="36"/>
        <w:widowControl w:val="0"/>
        <w:kinsoku/>
        <w:autoSpaceDE/>
        <w:autoSpaceDN/>
        <w:adjustRightInd w:val="0"/>
        <w:snapToGrid/>
        <w:spacing w:line="560" w:lineRule="exact"/>
        <w:ind w:firstLine="640"/>
        <w:rPr>
          <w:rFonts w:hint="default" w:ascii="FangSong_GB2312" w:hAnsi="FangSong_GB2312" w:eastAsia="FangSong_GB2312" w:cs="FangSong_GB2312"/>
          <w:sz w:val="32"/>
          <w:szCs w:val="32"/>
        </w:rPr>
      </w:pPr>
      <w:r>
        <w:rPr>
          <w:rFonts w:ascii="FangSong_GB2312" w:hAnsi="FangSong_GB2312" w:eastAsia="FangSong_GB2312" w:cs="FangSong_GB2312"/>
          <w:sz w:val="32"/>
          <w:szCs w:val="32"/>
        </w:rPr>
        <w:t>《水资源评价导则》SLT238-1999</w:t>
      </w:r>
    </w:p>
    <w:p w14:paraId="2BEAE9B0">
      <w:pPr>
        <w:pStyle w:val="36"/>
        <w:widowControl w:val="0"/>
        <w:kinsoku/>
        <w:autoSpaceDE/>
        <w:autoSpaceDN/>
        <w:adjustRightInd w:val="0"/>
        <w:snapToGrid/>
        <w:spacing w:line="560" w:lineRule="exact"/>
        <w:ind w:firstLine="640"/>
        <w:rPr>
          <w:rFonts w:hint="default" w:ascii="FangSong_GB2312" w:hAnsi="FangSong_GB2312" w:eastAsia="FangSong_GB2312" w:cs="FangSong_GB2312"/>
          <w:sz w:val="32"/>
          <w:szCs w:val="32"/>
        </w:rPr>
      </w:pPr>
      <w:r>
        <w:rPr>
          <w:rFonts w:ascii="FangSong_GB2312" w:hAnsi="FangSong_GB2312" w:eastAsia="FangSong_GB2312" w:cs="FangSong_GB2312"/>
          <w:sz w:val="32"/>
          <w:szCs w:val="32"/>
        </w:rPr>
        <w:t>《旅游资源分类、调查与评价》GB/T 18972—2017</w:t>
      </w:r>
    </w:p>
    <w:p w14:paraId="32B0EA6A">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《林地估价技术规程》</w:t>
      </w:r>
    </w:p>
    <w:p w14:paraId="641D5981">
      <w:pPr>
        <w:pStyle w:val="36"/>
        <w:widowControl w:val="0"/>
        <w:kinsoku/>
        <w:autoSpaceDE/>
        <w:autoSpaceDN/>
        <w:adjustRightInd w:val="0"/>
        <w:snapToGrid/>
        <w:spacing w:line="560" w:lineRule="exact"/>
        <w:ind w:firstLine="640"/>
        <w:rPr>
          <w:rFonts w:hint="default" w:ascii="FangSong_GB2312" w:hAnsi="FangSong_GB2312" w:eastAsia="FangSong_GB2312" w:cs="FangSong_GB2312"/>
          <w:sz w:val="32"/>
          <w:szCs w:val="32"/>
        </w:rPr>
      </w:pPr>
      <w:r>
        <w:rPr>
          <w:rFonts w:ascii="FangSong_GB2312" w:hAnsi="FangSong_GB2312" w:eastAsia="FangSong_GB2312" w:cs="FangSong_GB2312"/>
          <w:sz w:val="32"/>
          <w:szCs w:val="32"/>
        </w:rPr>
        <w:t>《园地估价技术规程》</w:t>
      </w:r>
    </w:p>
    <w:p w14:paraId="60CA5840">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《草地估价技术规程》</w:t>
      </w:r>
    </w:p>
    <w:p w14:paraId="082AA303">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《自然资源资产价格整体评估技术指引（试行）》</w:t>
      </w:r>
    </w:p>
    <w:p w14:paraId="35F966A6">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《中国矿业权评估准则》</w:t>
      </w:r>
    </w:p>
    <w:p w14:paraId="442D65B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《矿业权出让收益评估应用指南》（2023）</w:t>
      </w:r>
    </w:p>
    <w:p w14:paraId="7C1E4067">
      <w:pPr>
        <w:pStyle w:val="42"/>
        <w:widowControl w:val="0"/>
        <w:adjustRightInd w:val="0"/>
        <w:spacing w:before="0" w:beforeLines="0" w:after="0" w:afterLines="0" w:line="560" w:lineRule="exact"/>
        <w:ind w:firstLine="640" w:firstLineChars="200"/>
        <w:rPr>
          <w:rFonts w:hint="eastAsia" w:ascii="FangSong_GB2312" w:hAnsi="FangSong_GB2312" w:eastAsia="FangSong_GB2312" w:cs="FangSong_GB2312"/>
          <w:sz w:val="32"/>
          <w:szCs w:val="32"/>
        </w:rPr>
      </w:pPr>
      <w:bookmarkStart w:id="44" w:name="_Toc132183536"/>
      <w:bookmarkStart w:id="45" w:name="_Toc134621195"/>
      <w:bookmarkStart w:id="46" w:name="_Toc132269021"/>
      <w:bookmarkStart w:id="47" w:name="_Toc97195093"/>
      <w:bookmarkStart w:id="48" w:name="_Toc171693060"/>
      <w:bookmarkStart w:id="49" w:name="_Toc132185161"/>
      <w:bookmarkStart w:id="50" w:name="_Toc132285861"/>
      <w:bookmarkStart w:id="51" w:name="_Toc134085015"/>
      <w:bookmarkStart w:id="52" w:name="_Toc132290134"/>
      <w:bookmarkStart w:id="53" w:name="_Toc132185030"/>
      <w:bookmarkStart w:id="54" w:name="_Toc132184965"/>
      <w:bookmarkStart w:id="55" w:name="_Toc132030943"/>
      <w:bookmarkStart w:id="56" w:name="_Toc132185292"/>
      <w:bookmarkStart w:id="57" w:name="_Toc132185096"/>
      <w:r>
        <w:rPr>
          <w:rFonts w:hint="eastAsia" w:hAnsi="黑体" w:cs="黑体"/>
          <w:sz w:val="32"/>
          <w:szCs w:val="32"/>
        </w:rPr>
        <w:t>3</w:t>
      </w:r>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hAnsi="黑体" w:cs="黑体"/>
          <w:sz w:val="32"/>
          <w:szCs w:val="32"/>
        </w:rPr>
        <w:t>基本概念</w:t>
      </w:r>
    </w:p>
    <w:p w14:paraId="3E4C84F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bookmarkStart w:id="58" w:name="_Toc26986532"/>
      <w:bookmarkEnd w:id="58"/>
      <w:r>
        <w:rPr>
          <w:rFonts w:ascii="楷体_GB2312" w:hAnsi="楷体_GB2312" w:eastAsia="楷体_GB2312" w:cs="楷体_GB2312"/>
          <w:sz w:val="32"/>
          <w:szCs w:val="32"/>
        </w:rPr>
        <w:t>3.1</w:t>
      </w:r>
      <w:bookmarkStart w:id="59" w:name="_Toc132269022"/>
      <w:bookmarkStart w:id="60" w:name="_Toc132185097"/>
      <w:bookmarkStart w:id="61" w:name="_Toc132290135"/>
      <w:bookmarkStart w:id="62" w:name="_Toc170647201"/>
      <w:bookmarkStart w:id="63" w:name="_Toc132184966"/>
      <w:bookmarkStart w:id="64" w:name="_Toc171687466"/>
      <w:bookmarkStart w:id="65" w:name="_Toc132183537"/>
      <w:bookmarkStart w:id="66" w:name="_Toc132185293"/>
      <w:bookmarkStart w:id="67" w:name="_Toc132285862"/>
      <w:bookmarkStart w:id="68" w:name="_Toc132185031"/>
      <w:bookmarkStart w:id="69" w:name="_Toc171186500"/>
      <w:bookmarkStart w:id="70" w:name="_Toc165579969"/>
      <w:bookmarkStart w:id="71" w:name="_Toc168762493"/>
      <w:bookmarkStart w:id="72" w:name="_Toc171693061"/>
      <w:bookmarkStart w:id="73" w:name="_Toc134621196"/>
      <w:bookmarkStart w:id="74" w:name="_Toc132185162"/>
      <w:r>
        <w:rPr>
          <w:rFonts w:ascii="楷体_GB2312" w:hAnsi="楷体_GB2312" w:eastAsia="楷体_GB2312" w:cs="楷体_GB2312"/>
          <w:sz w:val="32"/>
          <w:szCs w:val="32"/>
        </w:rPr>
        <w:t>自然资源资产组合供应</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CCCAD78">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75" w:name="_Toc171687467"/>
      <w:bookmarkStart w:id="76" w:name="_Toc168762494"/>
      <w:bookmarkStart w:id="77" w:name="_Toc171693062"/>
      <w:bookmarkStart w:id="78" w:name="_Toc170647202"/>
      <w:bookmarkStart w:id="79" w:name="_Toc171186501"/>
      <w:bookmarkStart w:id="80" w:name="_Toc165579970"/>
      <w:r>
        <w:rPr>
          <w:rFonts w:hint="eastAsia" w:ascii="FangSong_GB2312" w:hAnsi="FangSong_GB2312" w:eastAsia="FangSong_GB2312" w:cs="FangSong_GB2312"/>
          <w:sz w:val="32"/>
          <w:szCs w:val="32"/>
        </w:rPr>
        <w:t>在特定国土空间范围内，将多门类自然资源资产（含多种类权利权能）整体配置给同一权利主体的供应模式，简称“组合供应”。</w:t>
      </w:r>
      <w:bookmarkEnd w:id="75"/>
      <w:bookmarkEnd w:id="76"/>
      <w:bookmarkEnd w:id="77"/>
      <w:bookmarkEnd w:id="78"/>
      <w:bookmarkEnd w:id="79"/>
    </w:p>
    <w:bookmarkEnd w:id="80"/>
    <w:p w14:paraId="5496B738">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楷体_GB2312" w:hAnsi="楷体_GB2312" w:eastAsia="楷体_GB2312" w:cs="楷体_GB2312"/>
          <w:snapToGrid w:val="0"/>
          <w:color w:val="000000"/>
          <w:sz w:val="32"/>
          <w:szCs w:val="32"/>
        </w:rPr>
        <w:t>3.2</w:t>
      </w:r>
      <w:bookmarkStart w:id="81" w:name="_Toc132183538"/>
      <w:bookmarkStart w:id="82" w:name="_Toc132285863"/>
      <w:bookmarkStart w:id="83" w:name="_Toc134621197"/>
      <w:bookmarkStart w:id="84" w:name="_Toc132185032"/>
      <w:bookmarkStart w:id="85" w:name="_Toc171186502"/>
      <w:bookmarkStart w:id="86" w:name="_Toc132185294"/>
      <w:bookmarkStart w:id="87" w:name="_Toc168762495"/>
      <w:bookmarkStart w:id="88" w:name="_Toc132184967"/>
      <w:bookmarkStart w:id="89" w:name="_Toc132290136"/>
      <w:bookmarkStart w:id="90" w:name="_Toc132185098"/>
      <w:bookmarkStart w:id="91" w:name="_Toc170647203"/>
      <w:bookmarkStart w:id="92" w:name="_Toc132185163"/>
      <w:bookmarkStart w:id="93" w:name="_Toc171693063"/>
      <w:bookmarkStart w:id="94" w:name="_Toc132269023"/>
      <w:bookmarkStart w:id="95" w:name="_Toc171687468"/>
      <w:bookmarkStart w:id="96" w:name="_Toc165579971"/>
      <w:r>
        <w:rPr>
          <w:rFonts w:hint="eastAsia" w:ascii="楷体_GB2312" w:hAnsi="楷体_GB2312" w:eastAsia="楷体_GB2312" w:cs="楷体_GB2312"/>
          <w:snapToGrid w:val="0"/>
          <w:color w:val="000000"/>
          <w:sz w:val="32"/>
          <w:szCs w:val="32"/>
        </w:rPr>
        <w:t>自然资源资产包</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C58EC86">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97" w:name="_Toc170647204"/>
      <w:bookmarkStart w:id="98" w:name="_Toc171693064"/>
      <w:bookmarkStart w:id="99" w:name="_Toc171687469"/>
      <w:bookmarkStart w:id="100" w:name="_Toc171186503"/>
      <w:bookmarkStart w:id="101" w:name="_Toc168762496"/>
      <w:bookmarkStart w:id="102" w:name="_Toc165579972"/>
      <w:r>
        <w:rPr>
          <w:rFonts w:hint="eastAsia" w:ascii="FangSong_GB2312" w:hAnsi="FangSong_GB2312" w:eastAsia="FangSong_GB2312" w:cs="FangSong_GB2312"/>
          <w:sz w:val="32"/>
          <w:szCs w:val="32"/>
        </w:rPr>
        <w:t>包括多门类自然资源资产或多种类自然资源资产权利权能的自然资源资产利用组合体，是自然资源资产组合供应中的客体对象，简称“资产包”。</w:t>
      </w:r>
      <w:bookmarkEnd w:id="97"/>
      <w:bookmarkEnd w:id="98"/>
      <w:bookmarkEnd w:id="99"/>
      <w:bookmarkEnd w:id="100"/>
    </w:p>
    <w:p w14:paraId="4CD052BC">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03" w:name="_Toc171186504"/>
      <w:bookmarkStart w:id="104" w:name="_Toc171693065"/>
      <w:bookmarkStart w:id="105" w:name="_Toc170647205"/>
      <w:bookmarkStart w:id="106" w:name="_Toc171687470"/>
      <w:r>
        <w:rPr>
          <w:rFonts w:hint="eastAsia" w:ascii="FangSong_GB2312" w:hAnsi="FangSong_GB2312" w:eastAsia="FangSong_GB2312" w:cs="FangSong_GB2312"/>
          <w:sz w:val="32"/>
          <w:szCs w:val="32"/>
        </w:rPr>
        <w:t>注：其包括的各类自然资源资产或各种权利权能之间通常在空间或效用上存在关联关系</w:t>
      </w:r>
      <w:bookmarkEnd w:id="101"/>
      <w:r>
        <w:rPr>
          <w:rFonts w:hint="eastAsia" w:ascii="FangSong_GB2312" w:hAnsi="FangSong_GB2312" w:eastAsia="FangSong_GB2312" w:cs="FangSong_GB2312"/>
          <w:sz w:val="32"/>
          <w:szCs w:val="32"/>
        </w:rPr>
        <w:t>。</w:t>
      </w:r>
      <w:bookmarkEnd w:id="103"/>
      <w:bookmarkEnd w:id="104"/>
      <w:bookmarkEnd w:id="105"/>
      <w:bookmarkEnd w:id="106"/>
    </w:p>
    <w:bookmarkEnd w:id="102"/>
    <w:p w14:paraId="0CE0F618">
      <w:pPr>
        <w:pStyle w:val="43"/>
        <w:widowControl w:val="0"/>
        <w:adjustRightInd w:val="0"/>
        <w:spacing w:before="0" w:beforeLines="0" w:after="0" w:afterLines="0" w:line="560" w:lineRule="exact"/>
        <w:ind w:left="0" w:firstLine="640"/>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3.3载体型自然资源</w:t>
      </w:r>
    </w:p>
    <w:p w14:paraId="234A395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指既是自然资源要素本身，又为其他自然资源提供承载空间，具有位置固定性、物理不可分割性，以及非耗竭性等特点的自然资源，包括各用途的土地、水域等。</w:t>
      </w:r>
    </w:p>
    <w:p w14:paraId="5E439B83">
      <w:pPr>
        <w:pStyle w:val="43"/>
        <w:widowControl w:val="0"/>
        <w:adjustRightInd w:val="0"/>
        <w:spacing w:before="0" w:beforeLines="0" w:after="0" w:afterLines="0" w:line="560" w:lineRule="exact"/>
        <w:ind w:left="0" w:firstLine="640"/>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3.4复合型自然资源</w:t>
      </w:r>
    </w:p>
    <w:p w14:paraId="2AE0ACA1">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指由两种及以上门类的自然资源通过有机结合形成的，具有显著的、不可分割的整体功能的自然生态空间。</w:t>
      </w:r>
    </w:p>
    <w:p w14:paraId="5094C2F1">
      <w:pPr>
        <w:pStyle w:val="43"/>
        <w:widowControl w:val="0"/>
        <w:adjustRightInd w:val="0"/>
        <w:spacing w:before="0" w:beforeLines="0" w:after="0" w:afterLines="0" w:line="560" w:lineRule="exact"/>
        <w:ind w:left="0" w:firstLine="640"/>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3.</w:t>
      </w:r>
      <w:bookmarkStart w:id="107" w:name="_Toc171687471"/>
      <w:bookmarkStart w:id="108" w:name="_Toc171186505"/>
      <w:bookmarkStart w:id="109" w:name="_Toc132269024"/>
      <w:bookmarkStart w:id="110" w:name="_Toc132185099"/>
      <w:bookmarkStart w:id="111" w:name="_Toc168762497"/>
      <w:bookmarkStart w:id="112" w:name="_Toc132185164"/>
      <w:bookmarkStart w:id="113" w:name="_Toc170647206"/>
      <w:bookmarkStart w:id="114" w:name="_Toc132184968"/>
      <w:bookmarkStart w:id="115" w:name="_Toc132185295"/>
      <w:bookmarkStart w:id="116" w:name="_Toc132285864"/>
      <w:bookmarkStart w:id="117" w:name="_Toc132183539"/>
      <w:bookmarkStart w:id="118" w:name="_Toc132185033"/>
      <w:bookmarkStart w:id="119" w:name="_Toc171693066"/>
      <w:bookmarkStart w:id="120" w:name="_Toc134621198"/>
      <w:bookmarkStart w:id="121" w:name="_Toc132290137"/>
      <w:bookmarkStart w:id="122" w:name="_Toc165579973"/>
      <w:r>
        <w:rPr>
          <w:rFonts w:hint="eastAsia" w:ascii="楷体_GB2312" w:hAnsi="楷体_GB2312" w:eastAsia="楷体_GB2312" w:cs="楷体_GB2312"/>
          <w:snapToGrid w:val="0"/>
          <w:color w:val="000000"/>
          <w:sz w:val="32"/>
          <w:szCs w:val="32"/>
        </w:rPr>
        <w:t>5自然资源资产价格整体评估</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D281D8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以自然资源资产包为评估对象，遵循自然资源估价的基本要求，在充分关注各类自然资源资产组合形成的系统性、整体性效用的基础上，对自然资源资产包的整体价格，及在可行和需要时对其各构成部分分项价格的估算与判定活动，简称“整体评估”。</w:t>
      </w:r>
    </w:p>
    <w:p w14:paraId="76B2F8F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楷体_GB2312" w:hAnsi="楷体_GB2312" w:eastAsia="楷体_GB2312" w:cs="楷体_GB2312"/>
          <w:snapToGrid w:val="0"/>
          <w:color w:val="000000"/>
          <w:sz w:val="32"/>
          <w:szCs w:val="32"/>
        </w:rPr>
        <w:t>3.</w:t>
      </w:r>
      <w:bookmarkStart w:id="123" w:name="_Toc132183540"/>
      <w:bookmarkStart w:id="124" w:name="_Toc170647207"/>
      <w:bookmarkStart w:id="125" w:name="_Toc134621199"/>
      <w:bookmarkStart w:id="126" w:name="_Toc132285865"/>
      <w:bookmarkStart w:id="127" w:name="_Toc132185034"/>
      <w:bookmarkStart w:id="128" w:name="_Toc171186506"/>
      <w:bookmarkStart w:id="129" w:name="_Toc132290138"/>
      <w:bookmarkStart w:id="130" w:name="_Toc171693067"/>
      <w:bookmarkStart w:id="131" w:name="_Toc171687472"/>
      <w:bookmarkStart w:id="132" w:name="_Toc165579974"/>
      <w:bookmarkStart w:id="133" w:name="_Toc132269025"/>
      <w:bookmarkStart w:id="134" w:name="_Toc132185100"/>
      <w:bookmarkStart w:id="135" w:name="_Toc168762498"/>
      <w:bookmarkStart w:id="136" w:name="_Toc132184969"/>
      <w:bookmarkStart w:id="137" w:name="_Toc132185165"/>
      <w:bookmarkStart w:id="138" w:name="_Toc132185296"/>
      <w:r>
        <w:rPr>
          <w:rFonts w:hint="eastAsia" w:ascii="楷体_GB2312" w:hAnsi="楷体_GB2312" w:eastAsia="楷体_GB2312" w:cs="楷体_GB2312"/>
          <w:snapToGrid w:val="0"/>
          <w:color w:val="000000"/>
          <w:sz w:val="32"/>
          <w:szCs w:val="32"/>
        </w:rPr>
        <w:t>6关联影响因素</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D4ED85C">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在整体评估中需特别关注的，能够体现自然资源资产包内多个构成要素之间在资源利用效率、成本、收益等方面的相互作用，进而影响资产包及其各构成要素的价格（价值）的客观因素，简称“关联因素”。</w:t>
      </w:r>
    </w:p>
    <w:p w14:paraId="397DC114">
      <w:pPr>
        <w:pStyle w:val="43"/>
        <w:widowControl w:val="0"/>
        <w:adjustRightInd w:val="0"/>
        <w:spacing w:before="0" w:beforeLines="0" w:after="0" w:afterLines="0" w:line="560" w:lineRule="exact"/>
        <w:ind w:left="-10" w:leftChars="-3" w:firstLine="640" w:firstLineChars="200"/>
        <w:rPr>
          <w:rFonts w:hint="eastAsia" w:ascii="FangSong_GB2312" w:hAnsi="FangSong_GB2312" w:eastAsia="FangSong_GB2312" w:cs="FangSong_GB2312"/>
          <w:sz w:val="32"/>
          <w:szCs w:val="32"/>
        </w:rPr>
      </w:pPr>
      <w:bookmarkStart w:id="139" w:name="_Toc171693068"/>
      <w:bookmarkEnd w:id="139"/>
      <w:bookmarkStart w:id="140" w:name="_Toc171186507"/>
      <w:bookmarkEnd w:id="140"/>
      <w:bookmarkStart w:id="141" w:name="_Toc168762499"/>
      <w:bookmarkEnd w:id="141"/>
      <w:bookmarkStart w:id="142" w:name="_Toc171687473"/>
      <w:bookmarkEnd w:id="142"/>
      <w:bookmarkStart w:id="143" w:name="_Toc165579975"/>
      <w:bookmarkEnd w:id="143"/>
      <w:bookmarkStart w:id="144" w:name="_Toc170647208"/>
      <w:bookmarkEnd w:id="144"/>
      <w:bookmarkStart w:id="145" w:name="_Toc165579976"/>
      <w:r>
        <w:rPr>
          <w:rFonts w:hint="eastAsia" w:ascii="楷体_GB2312" w:hAnsi="楷体_GB2312" w:eastAsia="楷体_GB2312" w:cs="楷体_GB2312"/>
          <w:snapToGrid w:val="0"/>
          <w:color w:val="000000"/>
          <w:sz w:val="32"/>
          <w:szCs w:val="32"/>
        </w:rPr>
        <w:t>3.</w:t>
      </w:r>
      <w:bookmarkStart w:id="146" w:name="_Toc171693069"/>
      <w:bookmarkStart w:id="147" w:name="_Toc171687474"/>
      <w:bookmarkStart w:id="148" w:name="_Toc170647209"/>
      <w:bookmarkStart w:id="149" w:name="_Toc168762500"/>
      <w:bookmarkStart w:id="150" w:name="_Toc171186508"/>
      <w:r>
        <w:rPr>
          <w:rFonts w:hint="eastAsia" w:ascii="楷体_GB2312" w:hAnsi="楷体_GB2312" w:eastAsia="楷体_GB2312" w:cs="楷体_GB2312"/>
          <w:snapToGrid w:val="0"/>
          <w:color w:val="000000"/>
          <w:sz w:val="32"/>
          <w:szCs w:val="32"/>
        </w:rPr>
        <w:t>7协同效应</w:t>
      </w:r>
      <w:bookmarkEnd w:id="145"/>
      <w:bookmarkEnd w:id="146"/>
      <w:bookmarkEnd w:id="147"/>
      <w:bookmarkEnd w:id="148"/>
      <w:bookmarkEnd w:id="149"/>
      <w:bookmarkEnd w:id="150"/>
    </w:p>
    <w:p w14:paraId="7CF5E8F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在特定时空范围内，不同门类自然资源资产或不同利用方式向人类提供的惠益之间存在的相互增益等促进性作用规律。</w:t>
      </w:r>
    </w:p>
    <w:p w14:paraId="0FA25AE7">
      <w:pPr>
        <w:pStyle w:val="43"/>
        <w:widowControl w:val="0"/>
        <w:adjustRightInd w:val="0"/>
        <w:spacing w:before="0" w:beforeLines="0" w:after="0" w:afterLines="0" w:line="560" w:lineRule="exact"/>
        <w:ind w:left="-10" w:leftChars="-3" w:firstLine="640" w:firstLineChars="200"/>
        <w:rPr>
          <w:rFonts w:hint="eastAsia" w:ascii="FangSong_GB2312" w:hAnsi="FangSong_GB2312" w:eastAsia="FangSong_GB2312" w:cs="FangSong_GB2312"/>
          <w:sz w:val="32"/>
          <w:szCs w:val="32"/>
        </w:rPr>
      </w:pPr>
      <w:r>
        <w:rPr>
          <w:rFonts w:hint="eastAsia" w:ascii="楷体_GB2312" w:hAnsi="楷体_GB2312" w:eastAsia="楷体_GB2312" w:cs="楷体_GB2312"/>
          <w:snapToGrid w:val="0"/>
          <w:color w:val="000000"/>
          <w:sz w:val="32"/>
          <w:szCs w:val="32"/>
        </w:rPr>
        <w:t>3.</w:t>
      </w:r>
      <w:bookmarkStart w:id="151" w:name="_Toc171693070"/>
      <w:bookmarkStart w:id="152" w:name="_Toc171186509"/>
      <w:bookmarkStart w:id="153" w:name="_Toc168762501"/>
      <w:bookmarkStart w:id="154" w:name="_Toc170647210"/>
      <w:bookmarkStart w:id="155" w:name="_Toc165579977"/>
      <w:bookmarkStart w:id="156" w:name="_Toc171687475"/>
      <w:bookmarkStart w:id="157" w:name="_Toc132183542"/>
      <w:bookmarkStart w:id="158" w:name="_Toc134621201"/>
      <w:bookmarkStart w:id="159" w:name="_Toc132285867"/>
      <w:bookmarkStart w:id="160" w:name="_Toc132185036"/>
      <w:bookmarkStart w:id="161" w:name="_Toc132185102"/>
      <w:bookmarkStart w:id="162" w:name="_Toc132185167"/>
      <w:bookmarkStart w:id="163" w:name="_Toc132185298"/>
      <w:bookmarkStart w:id="164" w:name="_Toc132290140"/>
      <w:bookmarkStart w:id="165" w:name="_Toc132184971"/>
      <w:bookmarkStart w:id="166" w:name="_Toc132269027"/>
      <w:r>
        <w:rPr>
          <w:rFonts w:hint="eastAsia" w:ascii="楷体_GB2312" w:hAnsi="楷体_GB2312" w:eastAsia="楷体_GB2312" w:cs="楷体_GB2312"/>
          <w:snapToGrid w:val="0"/>
          <w:color w:val="000000"/>
          <w:sz w:val="32"/>
          <w:szCs w:val="32"/>
        </w:rPr>
        <w:t>8权衡效应</w:t>
      </w:r>
      <w:bookmarkEnd w:id="151"/>
      <w:bookmarkEnd w:id="152"/>
      <w:bookmarkEnd w:id="153"/>
      <w:bookmarkEnd w:id="154"/>
      <w:bookmarkEnd w:id="155"/>
      <w:bookmarkEnd w:id="156"/>
    </w:p>
    <w:p w14:paraId="079931A2">
      <w:pPr>
        <w:pStyle w:val="43"/>
        <w:widowControl w:val="0"/>
        <w:adjustRightInd w:val="0"/>
        <w:spacing w:before="0" w:beforeLines="0" w:after="0" w:afterLines="0" w:line="560" w:lineRule="exact"/>
        <w:ind w:left="-5" w:firstLine="640" w:firstLineChars="200"/>
        <w:rPr>
          <w:rFonts w:hint="eastAsia" w:ascii="FangSong_GB2312" w:hAnsi="FangSong_GB2312" w:eastAsia="FangSong_GB2312" w:cs="FangSong_GB2312"/>
          <w:snapToGrid w:val="0"/>
          <w:color w:val="000000"/>
          <w:sz w:val="32"/>
          <w:szCs w:val="32"/>
        </w:rPr>
      </w:pPr>
      <w:bookmarkStart w:id="167" w:name="_Toc171687476"/>
      <w:bookmarkStart w:id="168" w:name="_Toc171693071"/>
      <w:bookmarkStart w:id="169" w:name="_Toc171186510"/>
      <w:bookmarkStart w:id="170" w:name="_Toc170647211"/>
      <w:r>
        <w:rPr>
          <w:rFonts w:hint="eastAsia" w:ascii="FangSong_GB2312" w:hAnsi="FangSong_GB2312" w:eastAsia="FangSong_GB2312" w:cs="FangSong_GB2312"/>
          <w:snapToGrid w:val="0"/>
          <w:color w:val="000000"/>
          <w:sz w:val="32"/>
          <w:szCs w:val="32"/>
        </w:rPr>
        <w:t>指在特定时空范围内，不同门类自然资源资产或不同利用方式向人类提供的惠益之间存在的此消彼长等限制性作用规律。</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9862294">
      <w:pPr>
        <w:pStyle w:val="43"/>
        <w:widowControl w:val="0"/>
        <w:adjustRightInd w:val="0"/>
        <w:spacing w:before="0" w:beforeLines="0" w:after="0" w:afterLines="0" w:line="560" w:lineRule="exact"/>
        <w:ind w:left="-10" w:leftChars="-3" w:firstLine="640" w:firstLineChars="200"/>
        <w:rPr>
          <w:rFonts w:hint="eastAsia" w:ascii="FangSong_GB2312" w:hAnsi="FangSong_GB2312" w:eastAsia="FangSong_GB2312" w:cs="FangSong_GB2312"/>
          <w:sz w:val="32"/>
          <w:szCs w:val="32"/>
        </w:rPr>
      </w:pPr>
      <w:r>
        <w:rPr>
          <w:rFonts w:hint="eastAsia" w:ascii="楷体_GB2312" w:hAnsi="楷体_GB2312" w:eastAsia="楷体_GB2312" w:cs="楷体_GB2312"/>
          <w:snapToGrid w:val="0"/>
          <w:color w:val="000000"/>
          <w:sz w:val="32"/>
          <w:szCs w:val="32"/>
        </w:rPr>
        <w:t>3.</w:t>
      </w:r>
      <w:bookmarkStart w:id="171" w:name="_Toc170647212"/>
      <w:bookmarkStart w:id="172" w:name="_Toc171687477"/>
      <w:bookmarkStart w:id="173" w:name="_Toc171186511"/>
      <w:bookmarkStart w:id="174" w:name="_Toc171693072"/>
      <w:r>
        <w:rPr>
          <w:rFonts w:hint="eastAsia" w:ascii="楷体_GB2312" w:hAnsi="楷体_GB2312" w:eastAsia="楷体_GB2312" w:cs="楷体_GB2312"/>
          <w:snapToGrid w:val="0"/>
          <w:color w:val="000000"/>
          <w:sz w:val="32"/>
          <w:szCs w:val="32"/>
        </w:rPr>
        <w:t>9规模效应</w:t>
      </w:r>
      <w:bookmarkEnd w:id="171"/>
      <w:bookmarkEnd w:id="172"/>
      <w:bookmarkEnd w:id="173"/>
      <w:bookmarkEnd w:id="174"/>
    </w:p>
    <w:p w14:paraId="071BEF87">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自然资源资产包内各构成要素有机结合并达到适宜规模时，形成的成本下降、效益提升的规律。</w:t>
      </w:r>
    </w:p>
    <w:p w14:paraId="55BA5314">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175" w:name="_Toc171693073"/>
      <w:r>
        <w:rPr>
          <w:rFonts w:hint="eastAsia" w:hAnsi="黑体" w:cs="黑体"/>
          <w:sz w:val="32"/>
          <w:szCs w:val="32"/>
        </w:rPr>
        <w:t>4评估基本原则</w:t>
      </w:r>
      <w:bookmarkEnd w:id="175"/>
    </w:p>
    <w:p w14:paraId="516D38E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bookmarkStart w:id="176" w:name="_Toc132183547"/>
      <w:r>
        <w:rPr>
          <w:rFonts w:ascii="FangSong_GB2312" w:hAnsi="FangSong_GB2312" w:eastAsia="FangSong_GB2312" w:cs="FangSong_GB2312"/>
          <w:sz w:val="32"/>
          <w:szCs w:val="32"/>
        </w:rPr>
        <w:t>除遵循TD/T 1061提出的基本技术原则外，整体评估还应遵循以下原则。</w:t>
      </w:r>
    </w:p>
    <w:p w14:paraId="5B651DC7">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w:t>
      </w:r>
      <w:r>
        <w:rPr>
          <w:rFonts w:ascii="楷体_GB2312" w:hAnsi="楷体_GB2312" w:eastAsia="楷体_GB2312" w:cs="楷体_GB2312"/>
          <w:sz w:val="32"/>
          <w:szCs w:val="32"/>
        </w:rPr>
        <w:t>可持续利用原则</w:t>
      </w:r>
      <w:bookmarkEnd w:id="176"/>
      <w:r>
        <w:rPr>
          <w:rFonts w:ascii="楷体_GB2312" w:hAnsi="楷体_GB2312" w:eastAsia="楷体_GB2312" w:cs="楷体_GB2312"/>
          <w:sz w:val="32"/>
          <w:szCs w:val="32"/>
        </w:rPr>
        <w:t>：</w:t>
      </w:r>
      <w:r>
        <w:rPr>
          <w:rFonts w:ascii="FangSong_GB2312" w:hAnsi="FangSong_GB2312" w:eastAsia="FangSong_GB2312" w:cs="FangSong_GB2312"/>
          <w:sz w:val="32"/>
          <w:szCs w:val="32"/>
        </w:rPr>
        <w:t>在限定的规划条件下，确定自然资源资产包中各类自然资源资产的具体开发利用模式时，秉持可持续利用理念，避免或降低对特定时空范围内自然生态环境形成负外部性影响，并将需采取的必要措施纳入价格影响考量。</w:t>
      </w:r>
    </w:p>
    <w:p w14:paraId="078BA28A">
      <w:pPr>
        <w:pStyle w:val="36"/>
        <w:widowControl w:val="0"/>
        <w:kinsoku/>
        <w:autoSpaceDE/>
        <w:autoSpaceDN/>
        <w:adjustRightInd w:val="0"/>
        <w:snapToGrid/>
        <w:spacing w:line="560" w:lineRule="exact"/>
        <w:ind w:firstLine="64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b)</w:t>
      </w:r>
      <w:r>
        <w:rPr>
          <w:rFonts w:ascii="楷体_GB2312" w:hAnsi="楷体_GB2312" w:eastAsia="楷体_GB2312" w:cs="楷体_GB2312"/>
          <w:sz w:val="32"/>
          <w:szCs w:val="32"/>
        </w:rPr>
        <w:t>整体效用导向原则：</w:t>
      </w:r>
      <w:r>
        <w:rPr>
          <w:rFonts w:ascii="FangSong_GB2312" w:hAnsi="FangSong_GB2312" w:eastAsia="FangSong_GB2312" w:cs="FangSong_GB2312"/>
          <w:sz w:val="32"/>
          <w:szCs w:val="32"/>
        </w:rPr>
        <w:t>在进行最佳开发利用方案设计及分析确定自然资源资产包可产生的效益时，以资产包各构成要素紧密结合、共同发挥作用为前提和基础，立足整体性视角进行分析测算。</w:t>
      </w:r>
    </w:p>
    <w:p w14:paraId="3562B624">
      <w:pPr>
        <w:pStyle w:val="36"/>
        <w:widowControl w:val="0"/>
        <w:kinsoku/>
        <w:autoSpaceDE/>
        <w:autoSpaceDN/>
        <w:adjustRightInd w:val="0"/>
        <w:snapToGrid/>
        <w:spacing w:line="560" w:lineRule="exact"/>
        <w:ind w:firstLine="64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c)</w:t>
      </w:r>
      <w:r>
        <w:rPr>
          <w:rFonts w:ascii="楷体_GB2312" w:hAnsi="楷体_GB2312" w:eastAsia="楷体_GB2312" w:cs="楷体_GB2312"/>
          <w:sz w:val="32"/>
          <w:szCs w:val="32"/>
        </w:rPr>
        <w:t>交换价值主导原则：</w:t>
      </w:r>
      <w:r>
        <w:rPr>
          <w:rFonts w:ascii="FangSong_GB2312" w:hAnsi="FangSong_GB2312" w:eastAsia="FangSong_GB2312" w:cs="FangSong_GB2312"/>
          <w:sz w:val="32"/>
          <w:szCs w:val="32"/>
        </w:rPr>
        <w:t>整体评估结果能够反映现行制度机制及供需关系影响下，具有客观共识性和市场可实现性的价值。</w:t>
      </w:r>
    </w:p>
    <w:p w14:paraId="17F53820">
      <w:pPr>
        <w:pStyle w:val="36"/>
        <w:widowControl w:val="0"/>
        <w:kinsoku/>
        <w:autoSpaceDE/>
        <w:autoSpaceDN/>
        <w:adjustRightInd w:val="0"/>
        <w:snapToGrid/>
        <w:spacing w:line="560" w:lineRule="exact"/>
        <w:ind w:firstLine="640" w:firstLineChars="0"/>
        <w:rPr>
          <w:rFonts w:ascii="FangSong_GB2312" w:hAnsi="FangSong_GB2312" w:eastAsia="FangSong_GB2312" w:cs="FangSong_GB2312"/>
          <w:sz w:val="32"/>
          <w:szCs w:val="32"/>
        </w:rPr>
      </w:pPr>
      <w:r>
        <w:rPr>
          <w:rFonts w:ascii="楷体_GB2312" w:hAnsi="楷体_GB2312" w:eastAsia="楷体_GB2312" w:cs="楷体_GB2312"/>
          <w:sz w:val="32"/>
          <w:szCs w:val="32"/>
        </w:rPr>
        <w:t>d)专业性原则:</w:t>
      </w:r>
      <w:r>
        <w:rPr>
          <w:rFonts w:ascii="FangSong_GB2312" w:hAnsi="FangSong_GB2312" w:eastAsia="FangSong_GB2312" w:cs="FangSong_GB2312"/>
          <w:sz w:val="32"/>
          <w:szCs w:val="32"/>
        </w:rPr>
        <w:t>整体评估活动应由具有相应资格的专业评估人员依据专业技术要求开展。自然资源资产包的构成包含载体型自然资源时，应包括土地评估专业人员；自然资源资产包中含矿业权时，应包括矿业权评估师。</w:t>
      </w:r>
    </w:p>
    <w:p w14:paraId="22FA73EE">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177" w:name="_Toc171693084"/>
      <w:bookmarkStart w:id="178" w:name="_Toc171693074"/>
      <w:r>
        <w:rPr>
          <w:rFonts w:hint="eastAsia" w:hAnsi="黑体" w:cs="黑体"/>
          <w:sz w:val="32"/>
          <w:szCs w:val="32"/>
        </w:rPr>
        <w:t>5评估对象与价格内涵界定</w:t>
      </w:r>
      <w:bookmarkEnd w:id="177"/>
    </w:p>
    <w:p w14:paraId="4108EDF3">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napToGrid w:val="0"/>
          <w:color w:val="000000"/>
          <w:sz w:val="32"/>
          <w:szCs w:val="32"/>
        </w:rPr>
      </w:pPr>
      <w:bookmarkStart w:id="179" w:name="_Toc171693085"/>
      <w:r>
        <w:rPr>
          <w:rFonts w:hint="eastAsia" w:ascii="楷体_GB2312" w:hAnsi="楷体_GB2312" w:eastAsia="楷体_GB2312" w:cs="楷体_GB2312"/>
          <w:snapToGrid w:val="0"/>
          <w:color w:val="000000"/>
          <w:sz w:val="32"/>
          <w:szCs w:val="32"/>
        </w:rPr>
        <w:t>5.1评估对象的界定</w:t>
      </w:r>
      <w:bookmarkEnd w:id="179"/>
    </w:p>
    <w:p w14:paraId="2633FC5B">
      <w:pPr>
        <w:pStyle w:val="36"/>
        <w:widowControl w:val="0"/>
        <w:kinsoku/>
        <w:autoSpaceDE/>
        <w:autoSpaceDN/>
        <w:adjustRightInd w:val="0"/>
        <w:snapToGrid/>
        <w:spacing w:line="560" w:lineRule="exact"/>
        <w:ind w:firstLine="646" w:firstLineChars="202"/>
        <w:rPr>
          <w:rFonts w:ascii="FangSong_GB2312" w:hAnsi="FangSong_GB2312" w:eastAsia="FangSong_GB2312" w:cs="FangSong_GB2312"/>
          <w:sz w:val="32"/>
          <w:szCs w:val="32"/>
        </w:rPr>
      </w:pPr>
      <w:r>
        <w:rPr>
          <w:rFonts w:ascii="FangSong_GB2312" w:hAnsi="FangSong_GB2312" w:eastAsia="FangSong_GB2312" w:cs="FangSong_GB2312"/>
          <w:sz w:val="32"/>
          <w:szCs w:val="32"/>
        </w:rPr>
        <w:t>界定评估对象应从以下方面明确待估对象的实物客体特征：</w:t>
      </w:r>
    </w:p>
    <w:p w14:paraId="78959F7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a)列示构成资产包的自然资源要素清单，含要素门类、数量、细分种类、权属性质等特征指标，确保不重不漏；</w:t>
      </w:r>
    </w:p>
    <w:p w14:paraId="7FD2DF3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b)自然资源实体要素各自的空间位置、范围（边界）等；</w:t>
      </w:r>
    </w:p>
    <w:p w14:paraId="4250304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c)说明各自然资源要素实体空间位置关联性，例如：是否相邻、相叠或相交，以及完全不存在空间的关联性等；</w:t>
      </w:r>
    </w:p>
    <w:p w14:paraId="08A63252">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d)描述方式：空间范围可用坐落地址、自然资源单元编码、地理坐标（包括平面和立体两个维度）表达，并使用文字结合宗地图、位置示意图等图示方式描述。</w:t>
      </w:r>
    </w:p>
    <w:p w14:paraId="08C2F4C0">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80" w:name="_Toc171693086"/>
      <w:r>
        <w:rPr>
          <w:rFonts w:hint="eastAsia" w:ascii="楷体_GB2312" w:hAnsi="楷体_GB2312" w:eastAsia="楷体_GB2312" w:cs="楷体_GB2312"/>
          <w:snapToGrid w:val="0"/>
          <w:color w:val="000000"/>
          <w:sz w:val="32"/>
          <w:szCs w:val="32"/>
        </w:rPr>
        <w:t>5.2价格内涵的界定</w:t>
      </w:r>
      <w:bookmarkEnd w:id="180"/>
    </w:p>
    <w:p w14:paraId="659B47E0">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81" w:name="_Toc171687492"/>
      <w:bookmarkStart w:id="182" w:name="_Toc171693087"/>
      <w:bookmarkStart w:id="183" w:name="_Toc170647227"/>
      <w:bookmarkStart w:id="184" w:name="_Toc171186526"/>
      <w:bookmarkStart w:id="185" w:name="_Toc168762516"/>
      <w:r>
        <w:rPr>
          <w:rFonts w:hint="eastAsia" w:ascii="FangSong_GB2312" w:hAnsi="FangSong_GB2312" w:eastAsia="FangSong_GB2312" w:cs="FangSong_GB2312"/>
          <w:sz w:val="32"/>
          <w:szCs w:val="32"/>
        </w:rPr>
        <w:t>5.2.1一般规定</w:t>
      </w:r>
      <w:bookmarkEnd w:id="181"/>
      <w:bookmarkEnd w:id="182"/>
      <w:bookmarkEnd w:id="183"/>
      <w:bookmarkEnd w:id="184"/>
      <w:bookmarkEnd w:id="185"/>
    </w:p>
    <w:p w14:paraId="2BACE5FB">
      <w:pPr>
        <w:pStyle w:val="36"/>
        <w:widowControl w:val="0"/>
        <w:kinsoku/>
        <w:autoSpaceDE/>
        <w:autoSpaceDN/>
        <w:adjustRightInd w:val="0"/>
        <w:snapToGrid/>
        <w:spacing w:line="560" w:lineRule="exact"/>
        <w:ind w:firstLine="646" w:firstLineChars="202"/>
        <w:rPr>
          <w:rFonts w:ascii="FangSong_GB2312" w:hAnsi="FangSong_GB2312" w:eastAsia="FangSong_GB2312" w:cs="FangSong_GB2312"/>
          <w:sz w:val="32"/>
          <w:szCs w:val="32"/>
        </w:rPr>
      </w:pPr>
      <w:bookmarkStart w:id="186" w:name="_Toc165579986"/>
      <w:r>
        <w:rPr>
          <w:rFonts w:ascii="FangSong_GB2312" w:hAnsi="FangSong_GB2312" w:eastAsia="FangSong_GB2312" w:cs="FangSong_GB2312"/>
          <w:sz w:val="32"/>
          <w:szCs w:val="32"/>
        </w:rPr>
        <w:t>整体评估中的价格内涵应从价格种类、市场特征、权利类型、权利期限、开发利用特征（含限定的利用方式）与限定条件、估价期日等方面进行界定；除执行TD/T 1061的一般规定外，还需遵循本文件的相关规定。</w:t>
      </w:r>
    </w:p>
    <w:p w14:paraId="37CE4C8B">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87" w:name="_Toc168762517"/>
      <w:bookmarkStart w:id="188" w:name="_Toc170647228"/>
      <w:bookmarkStart w:id="189" w:name="_Toc171186527"/>
      <w:bookmarkStart w:id="190" w:name="_Toc171693088"/>
      <w:bookmarkStart w:id="191" w:name="_Toc171687493"/>
      <w:r>
        <w:rPr>
          <w:rFonts w:hint="eastAsia" w:ascii="FangSong_GB2312" w:hAnsi="FangSong_GB2312" w:eastAsia="FangSong_GB2312" w:cs="FangSong_GB2312"/>
          <w:sz w:val="32"/>
          <w:szCs w:val="32"/>
        </w:rPr>
        <w:t>5.2.2价格种类</w:t>
      </w:r>
      <w:bookmarkEnd w:id="186"/>
      <w:bookmarkEnd w:id="187"/>
      <w:bookmarkEnd w:id="188"/>
      <w:bookmarkEnd w:id="189"/>
      <w:bookmarkEnd w:id="190"/>
      <w:bookmarkEnd w:id="191"/>
    </w:p>
    <w:p w14:paraId="2F7723B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规定如下：</w:t>
      </w:r>
    </w:p>
    <w:p w14:paraId="362C1D01">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a)无特殊说明下，自然资源组合供应中，整体评估对应的价格为市场上可实现的经济价值，是自然资源资产经济权益价值的货币化体现；</w:t>
      </w:r>
    </w:p>
    <w:p w14:paraId="1315B51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b)前款所述经济价值包括能够清晰界定产权，并可为产权人带来经济收益的生态价值，该类价值经转化进入经济系统，以经济价值形式体现，可纳入整体经济价值，亦可根据需要单独列示，但应注意不重不漏。</w:t>
      </w:r>
    </w:p>
    <w:p w14:paraId="4B81CC67">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92" w:name="_Toc165579987"/>
      <w:bookmarkStart w:id="193" w:name="_Toc168762518"/>
      <w:bookmarkStart w:id="194" w:name="_Toc171186528"/>
      <w:bookmarkStart w:id="195" w:name="_Toc170647229"/>
      <w:bookmarkStart w:id="196" w:name="_Toc171693089"/>
      <w:bookmarkStart w:id="197" w:name="_Toc171687494"/>
      <w:r>
        <w:rPr>
          <w:rFonts w:hint="eastAsia" w:ascii="FangSong_GB2312" w:hAnsi="FangSong_GB2312" w:eastAsia="FangSong_GB2312" w:cs="FangSong_GB2312"/>
          <w:sz w:val="32"/>
          <w:szCs w:val="32"/>
        </w:rPr>
        <w:t>5.2.3市场特征</w:t>
      </w:r>
      <w:bookmarkEnd w:id="192"/>
      <w:bookmarkEnd w:id="193"/>
      <w:bookmarkEnd w:id="194"/>
      <w:bookmarkEnd w:id="195"/>
      <w:bookmarkEnd w:id="196"/>
      <w:bookmarkEnd w:id="197"/>
    </w:p>
    <w:p w14:paraId="3F4C13A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自然资源资产组合供应中，整体评估价格通常为符合规划条件及其他有效约定的前提下，自然资源资产的公开市场价格。</w:t>
      </w:r>
    </w:p>
    <w:p w14:paraId="2563E02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98" w:name="_Toc171693090"/>
      <w:bookmarkStart w:id="199" w:name="_Toc171687495"/>
      <w:bookmarkStart w:id="200" w:name="_Toc170647230"/>
      <w:bookmarkStart w:id="201" w:name="_Toc171186529"/>
      <w:bookmarkStart w:id="202" w:name="_Toc165579988"/>
      <w:bookmarkStart w:id="203" w:name="_Toc168762519"/>
      <w:r>
        <w:rPr>
          <w:rFonts w:hint="eastAsia" w:ascii="FangSong_GB2312" w:hAnsi="FangSong_GB2312" w:eastAsia="FangSong_GB2312" w:cs="FangSong_GB2312"/>
          <w:sz w:val="32"/>
          <w:szCs w:val="32"/>
        </w:rPr>
        <w:t>5.2.4权利类型</w:t>
      </w:r>
      <w:bookmarkEnd w:id="198"/>
      <w:bookmarkEnd w:id="199"/>
      <w:bookmarkEnd w:id="200"/>
      <w:bookmarkEnd w:id="201"/>
      <w:bookmarkEnd w:id="202"/>
      <w:bookmarkEnd w:id="203"/>
    </w:p>
    <w:p w14:paraId="73254580">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规定如下：</w:t>
      </w:r>
    </w:p>
    <w:p w14:paraId="1E6C2271">
      <w:pPr>
        <w:pStyle w:val="36"/>
        <w:widowControl w:val="0"/>
        <w:tabs>
          <w:tab w:val="left" w:pos="426"/>
        </w:tabs>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a)当供应文件中对权利的表述与法定权利体系中的权利类型一致时，按其设定；</w:t>
      </w:r>
    </w:p>
    <w:p w14:paraId="7CFBCF46">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当供应文件中对权利的表述与现行法定权利体系中的权利类型不一致时，应向供应方进行确认，若含相关自然资源的占有、使用及收益等权能，宜设定为：“XX自然资源的使用权”，并依规划条件明确限定的具体利用方向；</w:t>
      </w:r>
    </w:p>
    <w:p w14:paraId="036BDA75">
      <w:pPr>
        <w:pStyle w:val="36"/>
        <w:widowControl w:val="0"/>
        <w:kinsoku/>
        <w:autoSpaceDE/>
        <w:autoSpaceDN/>
        <w:adjustRightInd w:val="0"/>
        <w:snapToGrid/>
        <w:spacing w:line="560" w:lineRule="exact"/>
        <w:ind w:firstLine="640"/>
        <w:rPr>
          <w:rFonts w:ascii="FangSong_GB2312" w:hAnsi="FangSong_GB2312" w:eastAsia="FangSong_GB2312" w:cs="FangSong_GB2312"/>
          <w:snapToGrid/>
          <w:color w:val="auto"/>
          <w:sz w:val="32"/>
          <w:szCs w:val="32"/>
        </w:rPr>
      </w:pPr>
      <w:r>
        <w:rPr>
          <w:rFonts w:ascii="FangSong_GB2312" w:hAnsi="FangSong_GB2312" w:eastAsia="FangSong_GB2312" w:cs="FangSong_GB2312"/>
          <w:snapToGrid/>
          <w:color w:val="auto"/>
          <w:sz w:val="32"/>
          <w:szCs w:val="32"/>
        </w:rPr>
        <w:t>示例：供应文件中表述为“旅游观光经营权”，估价报告中可将其设定为“XX自然资源的使用权，限定使用方式为旅游观光经营”。</w:t>
      </w:r>
    </w:p>
    <w:p w14:paraId="77759BD6">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评估中常见的权利类型包括，但不限于以下内容：建设用地使用权、农用地承包经营权或经营权、宅基地使用权、地役权、居住权、国有农用地的使用权、林地使用权、林地经营权、林木使用权、林木所有权、探矿权、采矿权、取水权、养殖权、捕捞权，以及其他可获取合法收益的经营权、特许经营权等。</w:t>
      </w:r>
    </w:p>
    <w:p w14:paraId="5323FAC5">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04" w:name="_Toc170647231"/>
      <w:bookmarkStart w:id="205" w:name="_Toc171693091"/>
      <w:bookmarkStart w:id="206" w:name="_Toc171186530"/>
      <w:bookmarkStart w:id="207" w:name="_Toc165579989"/>
      <w:bookmarkStart w:id="208" w:name="_Toc168762520"/>
      <w:bookmarkStart w:id="209" w:name="_Toc171687496"/>
      <w:r>
        <w:rPr>
          <w:rFonts w:hint="eastAsia" w:ascii="FangSong_GB2312" w:hAnsi="FangSong_GB2312" w:eastAsia="FangSong_GB2312" w:cs="FangSong_GB2312"/>
          <w:sz w:val="32"/>
          <w:szCs w:val="32"/>
        </w:rPr>
        <w:t>5.2.5权利期限</w:t>
      </w:r>
      <w:bookmarkEnd w:id="204"/>
      <w:bookmarkEnd w:id="205"/>
      <w:bookmarkEnd w:id="206"/>
      <w:bookmarkEnd w:id="207"/>
      <w:bookmarkEnd w:id="208"/>
      <w:bookmarkEnd w:id="209"/>
    </w:p>
    <w:p w14:paraId="7570C82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组合供应中，各类自然资源资产权利的期限依据供应文件分别设定，并不得超过该类资源资产权利的法定最高年期。</w:t>
      </w:r>
    </w:p>
    <w:p w14:paraId="2181D888">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10" w:name="_Toc171687497"/>
      <w:bookmarkStart w:id="211" w:name="_Toc170647232"/>
      <w:bookmarkStart w:id="212" w:name="_Toc168762521"/>
      <w:bookmarkStart w:id="213" w:name="_Toc171186531"/>
      <w:bookmarkStart w:id="214" w:name="_Toc171693092"/>
      <w:bookmarkStart w:id="215" w:name="_Toc165579990"/>
      <w:r>
        <w:rPr>
          <w:rFonts w:hint="eastAsia" w:ascii="FangSong_GB2312" w:hAnsi="FangSong_GB2312" w:eastAsia="FangSong_GB2312" w:cs="FangSong_GB2312"/>
          <w:sz w:val="32"/>
          <w:szCs w:val="32"/>
        </w:rPr>
        <w:t>5.2.6开发利用特征</w:t>
      </w:r>
      <w:bookmarkEnd w:id="210"/>
      <w:bookmarkEnd w:id="211"/>
      <w:bookmarkEnd w:id="212"/>
      <w:bookmarkEnd w:id="213"/>
      <w:bookmarkEnd w:id="214"/>
      <w:bookmarkEnd w:id="215"/>
    </w:p>
    <w:p w14:paraId="6B225AB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开发利用特征的界定应从资产包各构成要素的用途或功能类型、开发利用条件与限定的利用方式等方面进行，当对公共设施建设等规划配套，以及自然资源保护修复义务、污染排放限制等环境保护要求有具体规定且预期对估值结果产生影响时，应清晰表述。</w:t>
      </w:r>
    </w:p>
    <w:p w14:paraId="3C6E5F7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16" w:name="_Toc171687498"/>
      <w:bookmarkStart w:id="217" w:name="_Toc171186532"/>
      <w:bookmarkStart w:id="218" w:name="_Toc170647233"/>
      <w:bookmarkStart w:id="219" w:name="_Toc171693093"/>
      <w:bookmarkStart w:id="220" w:name="_Toc165579991"/>
      <w:bookmarkStart w:id="221" w:name="_Toc168762522"/>
      <w:r>
        <w:rPr>
          <w:rFonts w:hint="eastAsia" w:ascii="FangSong_GB2312" w:hAnsi="FangSong_GB2312" w:eastAsia="FangSong_GB2312" w:cs="FangSong_GB2312"/>
          <w:sz w:val="32"/>
          <w:szCs w:val="32"/>
        </w:rPr>
        <w:t>5.2.7估价期日</w:t>
      </w:r>
      <w:bookmarkEnd w:id="216"/>
      <w:bookmarkEnd w:id="217"/>
      <w:bookmarkEnd w:id="218"/>
      <w:bookmarkEnd w:id="219"/>
      <w:bookmarkEnd w:id="220"/>
      <w:bookmarkEnd w:id="221"/>
    </w:p>
    <w:p w14:paraId="5BC270A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自然资源资产包中各类自然资源资产价格对应的估价期日应当保持一致，并以XXXX年XX月XX日形式表达。</w:t>
      </w:r>
    </w:p>
    <w:p w14:paraId="0DA3553C">
      <w:pPr>
        <w:pStyle w:val="42"/>
        <w:widowControl w:val="0"/>
        <w:adjustRightInd w:val="0"/>
        <w:spacing w:before="0" w:beforeLines="0" w:after="0" w:afterLines="0" w:line="560" w:lineRule="exact"/>
        <w:ind w:firstLine="640" w:firstLineChars="200"/>
        <w:rPr>
          <w:rFonts w:hint="eastAsia" w:hAnsi="黑体" w:cs="黑体"/>
          <w:sz w:val="32"/>
          <w:szCs w:val="32"/>
        </w:rPr>
      </w:pPr>
      <w:r>
        <w:rPr>
          <w:rFonts w:hint="eastAsia" w:hAnsi="黑体" w:cs="黑体"/>
          <w:sz w:val="32"/>
          <w:szCs w:val="32"/>
        </w:rPr>
        <w:t>6评估基本程序</w:t>
      </w:r>
      <w:bookmarkEnd w:id="178"/>
    </w:p>
    <w:p w14:paraId="687983B7">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napToGrid w:val="0"/>
          <w:color w:val="000000"/>
          <w:sz w:val="32"/>
          <w:szCs w:val="32"/>
        </w:rPr>
      </w:pPr>
      <w:bookmarkStart w:id="222" w:name="_Toc171693075"/>
      <w:r>
        <w:rPr>
          <w:rFonts w:hint="eastAsia" w:ascii="楷体_GB2312" w:hAnsi="楷体_GB2312" w:eastAsia="楷体_GB2312" w:cs="楷体_GB2312"/>
          <w:snapToGrid w:val="0"/>
          <w:color w:val="000000"/>
          <w:sz w:val="32"/>
          <w:szCs w:val="32"/>
        </w:rPr>
        <w:t>6.1评估基本程序构成</w:t>
      </w:r>
      <w:bookmarkEnd w:id="222"/>
    </w:p>
    <w:p w14:paraId="2C7B9D8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评估基本程序包括以下内容，估价实务中可根据具体情况适当合并或扩充，但不得实质性减少：</w:t>
      </w:r>
    </w:p>
    <w:p w14:paraId="449F7567">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a)明确估价基本事项；</w:t>
      </w:r>
    </w:p>
    <w:p w14:paraId="0C5C773B">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b)拟定估价作业方案；</w:t>
      </w:r>
    </w:p>
    <w:p w14:paraId="152E373F">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c)资料收集与尽职调查；</w:t>
      </w:r>
    </w:p>
    <w:p w14:paraId="45A87769">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d)选定评估模式、方法、试算价格；</w:t>
      </w:r>
    </w:p>
    <w:p w14:paraId="3AB14084">
      <w:pPr>
        <w:pStyle w:val="50"/>
        <w:widowControl w:val="0"/>
        <w:numPr>
          <w:ilvl w:val="0"/>
          <w:numId w:val="0"/>
        </w:numPr>
        <w:adjustRightInd w:val="0"/>
        <w:spacing w:line="56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e)确定估价结果，形成估价结论；</w:t>
      </w:r>
    </w:p>
    <w:p w14:paraId="40751FC0">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f)撰写、提交估价报告；</w:t>
      </w:r>
    </w:p>
    <w:p w14:paraId="2778B72F">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g)整理归集估价档案。</w:t>
      </w:r>
    </w:p>
    <w:p w14:paraId="65213D4A">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23" w:name="_Toc171693076"/>
      <w:r>
        <w:rPr>
          <w:rFonts w:hint="eastAsia" w:ascii="楷体_GB2312" w:hAnsi="楷体_GB2312" w:eastAsia="楷体_GB2312" w:cs="楷体_GB2312"/>
          <w:snapToGrid w:val="0"/>
          <w:color w:val="000000"/>
          <w:sz w:val="32"/>
          <w:szCs w:val="32"/>
        </w:rPr>
        <w:t>6.2各环节的一般要求</w:t>
      </w:r>
      <w:bookmarkEnd w:id="223"/>
    </w:p>
    <w:p w14:paraId="19513712">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24" w:name="_Toc171693077"/>
      <w:bookmarkStart w:id="225" w:name="_Toc171687482"/>
      <w:bookmarkStart w:id="226" w:name="_Toc171186516"/>
      <w:bookmarkStart w:id="227" w:name="_Toc170647217"/>
      <w:bookmarkStart w:id="228" w:name="_Toc168762506"/>
      <w:r>
        <w:rPr>
          <w:rFonts w:hint="eastAsia" w:ascii="FangSong_GB2312" w:hAnsi="FangSong_GB2312" w:eastAsia="FangSong_GB2312" w:cs="FangSong_GB2312"/>
          <w:sz w:val="32"/>
          <w:szCs w:val="32"/>
        </w:rPr>
        <w:t>6.2.1明确估价基本事项</w:t>
      </w:r>
      <w:bookmarkEnd w:id="224"/>
      <w:bookmarkEnd w:id="225"/>
      <w:bookmarkEnd w:id="226"/>
      <w:bookmarkEnd w:id="227"/>
      <w:bookmarkEnd w:id="228"/>
    </w:p>
    <w:p w14:paraId="2B6A850A">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应重点明确评估目的、待估对象，以及涉及价格内涵的自然资源资产及其权利类型、权利期限、权能及开发利用方面的限制性条件等内容，其中：</w:t>
      </w:r>
    </w:p>
    <w:p w14:paraId="1AF2575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——明确评估目的主要包括明确估价结果的使用者、使用方向，具体用法或使用效力等；</w:t>
      </w:r>
    </w:p>
    <w:p w14:paraId="72DCD8E9">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——明确待估对象指明确待估对象的实体状况、范围，及权益状况等；</w:t>
      </w:r>
    </w:p>
    <w:p w14:paraId="15A557A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——明确价格内涵指明确评估结果数据所表征的具体含义。</w:t>
      </w:r>
    </w:p>
    <w:p w14:paraId="47F6457D">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29" w:name="_Toc171687483"/>
      <w:bookmarkStart w:id="230" w:name="_Toc168762507"/>
      <w:bookmarkStart w:id="231" w:name="_Toc171693078"/>
      <w:bookmarkStart w:id="232" w:name="_Toc170647218"/>
      <w:bookmarkStart w:id="233" w:name="_Toc171186517"/>
      <w:r>
        <w:rPr>
          <w:rFonts w:hint="eastAsia" w:ascii="FangSong_GB2312" w:hAnsi="FangSong_GB2312" w:eastAsia="FangSong_GB2312" w:cs="FangSong_GB2312"/>
          <w:sz w:val="32"/>
          <w:szCs w:val="32"/>
        </w:rPr>
        <w:t>6.2.2拟定估价作业方案</w:t>
      </w:r>
      <w:bookmarkEnd w:id="229"/>
      <w:bookmarkEnd w:id="230"/>
      <w:bookmarkEnd w:id="231"/>
      <w:bookmarkEnd w:id="232"/>
      <w:bookmarkEnd w:id="233"/>
    </w:p>
    <w:p w14:paraId="40DCB5F2">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34" w:name="_Toc171693079"/>
      <w:bookmarkStart w:id="235" w:name="_Toc168762508"/>
      <w:bookmarkStart w:id="236" w:name="_Toc170647219"/>
      <w:bookmarkStart w:id="237" w:name="_Toc171687484"/>
      <w:bookmarkStart w:id="238" w:name="_Toc171186518"/>
      <w:r>
        <w:rPr>
          <w:rFonts w:hint="eastAsia" w:ascii="FangSong_GB2312" w:hAnsi="FangSong_GB2312" w:eastAsia="FangSong_GB2312" w:cs="FangSong_GB2312"/>
          <w:sz w:val="32"/>
          <w:szCs w:val="32"/>
        </w:rPr>
        <w:t>包括拟订估价技术路线和初步选择评估模式与估价方法、拟订资料收集的清单和收集资料的渠道、预计所需的时间、人员和经费投入，以及拟订时间进度安排等。其中，评估机构应具备土地或矿业权评估资质；评估人员应具备专业胜任能力，可根据资产包内涉及的资产类型征询资产权益专业技术人员意见或聘请相关领域专家出具专业意见。</w:t>
      </w:r>
    </w:p>
    <w:p w14:paraId="61C25463">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6.2.3资料收集与</w:t>
      </w:r>
      <w:bookmarkEnd w:id="234"/>
      <w:bookmarkEnd w:id="235"/>
      <w:bookmarkEnd w:id="236"/>
      <w:bookmarkEnd w:id="237"/>
      <w:bookmarkEnd w:id="238"/>
      <w:r>
        <w:rPr>
          <w:rFonts w:hint="eastAsia" w:ascii="FangSong_GB2312" w:hAnsi="FangSong_GB2312" w:eastAsia="FangSong_GB2312" w:cs="FangSong_GB2312"/>
          <w:sz w:val="32"/>
          <w:szCs w:val="32"/>
        </w:rPr>
        <w:t>尽职调查</w:t>
      </w:r>
    </w:p>
    <w:p w14:paraId="77EDBD9D">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内容及要求如下：</w:t>
      </w:r>
    </w:p>
    <w:p w14:paraId="394C5AFF">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a)需要收集的资料包括但不限于以下内容：</w:t>
      </w:r>
    </w:p>
    <w:p w14:paraId="3FD26ADE">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Ⅰ.反映资产包各构成要素实体情况、权利状况与规划限制条件等的资料；</w:t>
      </w:r>
    </w:p>
    <w:p w14:paraId="673526D5">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Ⅱ.资产包开发利用方案（设计方案、初步可研分析等）；</w:t>
      </w:r>
    </w:p>
    <w:p w14:paraId="6E020EEA">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Ⅲ.价格影响因素的相关资料；</w:t>
      </w:r>
    </w:p>
    <w:p w14:paraId="7D4C5372">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Ⅳ.与待估对象具有相同或相似市场特征的交易资料、经营收益资料；自然资源政府公示价资料等；</w:t>
      </w:r>
    </w:p>
    <w:p w14:paraId="55899FB1">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Ⅴ.其他支撑估价参数测算和取值的相关资料，以及相关政策等。</w:t>
      </w:r>
    </w:p>
    <w:p w14:paraId="568AC63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尽职调查至少应有一名承办本评估业务、签署评估报告的相关专业评估人员全程参与：根据构成资产包的自然资源门类及具体清单，尽职调查内容除遵循相关估价技术标准的要求外，还应重点了解资产包各构成要素在平面、立体等多维度上的相邻关系。</w:t>
      </w:r>
    </w:p>
    <w:p w14:paraId="43E680A4">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39" w:name="_Toc171693080"/>
      <w:bookmarkStart w:id="240" w:name="_Toc168762509"/>
      <w:bookmarkStart w:id="241" w:name="_Toc170647220"/>
      <w:bookmarkStart w:id="242" w:name="_Toc171186519"/>
      <w:bookmarkStart w:id="243" w:name="_Toc171687485"/>
      <w:r>
        <w:rPr>
          <w:rFonts w:hint="eastAsia" w:ascii="FangSong_GB2312" w:hAnsi="FangSong_GB2312" w:eastAsia="FangSong_GB2312" w:cs="FangSong_GB2312"/>
          <w:sz w:val="32"/>
          <w:szCs w:val="32"/>
        </w:rPr>
        <w:t>6.2.4选定评估模式、方法、试算价格</w:t>
      </w:r>
      <w:bookmarkEnd w:id="239"/>
      <w:bookmarkEnd w:id="240"/>
      <w:bookmarkEnd w:id="241"/>
      <w:bookmarkEnd w:id="242"/>
      <w:bookmarkEnd w:id="243"/>
    </w:p>
    <w:p w14:paraId="69B0072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基本要求如下：</w:t>
      </w:r>
    </w:p>
    <w:p w14:paraId="46C51DD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a)根据资产包整体及其各构成要素的特征，分析收益来源，以及同类资产包交易的市场特征，结合资料的易得性与可信度，经综合判断，确定采用的评估模式、技术路径及具体评估方法，进行价格测算；</w:t>
      </w:r>
    </w:p>
    <w:p w14:paraId="7A30A820">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b)既有估价技术标准中对评估方法数量没有明确要求的，可根据估价原理选用适宜的评估方法；</w:t>
      </w:r>
    </w:p>
    <w:p w14:paraId="3709198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c)选择两种（含）以上评估方法时，宜选择不同技术路径中的方法，对评估结果进行相互验证；</w:t>
      </w:r>
    </w:p>
    <w:p w14:paraId="4250FE2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d)当评估目的是为确定出让底价提供参考时，除国有建设用地外，资产包中其他类型土地资源资产价格评估方法的选择可不适用《国有建设用地使用权出让地价评估技术规范》的相应要求。</w:t>
      </w:r>
    </w:p>
    <w:p w14:paraId="598B391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44" w:name="_Toc171687486"/>
      <w:bookmarkStart w:id="245" w:name="_Toc171693081"/>
      <w:bookmarkStart w:id="246" w:name="_Toc170647221"/>
      <w:bookmarkStart w:id="247" w:name="_Toc168762510"/>
      <w:bookmarkStart w:id="248" w:name="_Toc171186520"/>
      <w:r>
        <w:rPr>
          <w:rFonts w:hint="eastAsia" w:ascii="FangSong_GB2312" w:hAnsi="FangSong_GB2312" w:eastAsia="FangSong_GB2312" w:cs="FangSong_GB2312"/>
          <w:sz w:val="32"/>
          <w:szCs w:val="32"/>
        </w:rPr>
        <w:t>6.2.5确定估价结果，形成估价结论</w:t>
      </w:r>
      <w:bookmarkEnd w:id="244"/>
      <w:bookmarkEnd w:id="245"/>
      <w:bookmarkEnd w:id="246"/>
      <w:bookmarkEnd w:id="247"/>
      <w:bookmarkEnd w:id="248"/>
    </w:p>
    <w:p w14:paraId="41993A9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基本要求如下：</w:t>
      </w:r>
    </w:p>
    <w:p w14:paraId="210A64B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依据估价资料、估价方法、估价参数指标等的代表性、适宜性、准确性，分析判断各测算价格的客观性，以不同方法测算结果（或进行适当调整后的数值）为基础，通过简单平均、加权平均等统计方法得到最终估价结果；</w:t>
      </w:r>
    </w:p>
    <w:p w14:paraId="34524087">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b)若舍弃或调整某种估价方法的测算结果，应充分阐明理由；</w:t>
      </w:r>
    </w:p>
    <w:p w14:paraId="6E403802">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c)服务于自然资源资产组合供应的评估中，估价结果应包括自然资源资产包的整体价格、各自然资源资产的单位价格和总价。</w:t>
      </w:r>
    </w:p>
    <w:p w14:paraId="4D21575B">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49" w:name="_Toc171687487"/>
      <w:bookmarkStart w:id="250" w:name="_Toc168762511"/>
      <w:bookmarkStart w:id="251" w:name="_Toc171186521"/>
      <w:bookmarkStart w:id="252" w:name="_Toc171693082"/>
      <w:bookmarkStart w:id="253" w:name="_Toc170647222"/>
      <w:r>
        <w:rPr>
          <w:rFonts w:hint="eastAsia" w:ascii="FangSong_GB2312" w:hAnsi="FangSong_GB2312" w:eastAsia="FangSong_GB2312" w:cs="FangSong_GB2312"/>
          <w:sz w:val="32"/>
          <w:szCs w:val="32"/>
        </w:rPr>
        <w:t>6.2.6撰写、提交估价报告</w:t>
      </w:r>
      <w:bookmarkEnd w:id="249"/>
      <w:bookmarkEnd w:id="250"/>
      <w:bookmarkEnd w:id="251"/>
      <w:bookmarkEnd w:id="252"/>
      <w:bookmarkEnd w:id="253"/>
    </w:p>
    <w:p w14:paraId="5ADD67FD">
      <w:pPr>
        <w:pStyle w:val="36"/>
        <w:widowControl w:val="0"/>
        <w:kinsoku/>
        <w:autoSpaceDE/>
        <w:autoSpaceDN/>
        <w:adjustRightInd w:val="0"/>
        <w:snapToGrid/>
        <w:spacing w:line="560" w:lineRule="exact"/>
        <w:ind w:firstLine="640"/>
        <w:rPr>
          <w:rFonts w:ascii="FangSong_GB2312" w:hAnsi="FangSong_GB2312" w:eastAsia="FangSong_GB2312" w:cs="FangSong_GB2312"/>
          <w:snapToGrid/>
          <w:color w:val="auto"/>
          <w:sz w:val="32"/>
          <w:szCs w:val="32"/>
        </w:rPr>
      </w:pPr>
      <w:r>
        <w:rPr>
          <w:rFonts w:ascii="FangSong_GB2312" w:hAnsi="FangSong_GB2312" w:eastAsia="FangSong_GB2312" w:cs="FangSong_GB2312"/>
          <w:snapToGrid/>
          <w:color w:val="auto"/>
          <w:sz w:val="32"/>
          <w:szCs w:val="32"/>
        </w:rPr>
        <w:t>基本要求如下：</w:t>
      </w:r>
    </w:p>
    <w:p w14:paraId="35B36BB9">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a)估价报告由《估价结果报告》和《估价技术报告（评估工作底稿）》构成；</w:t>
      </w:r>
    </w:p>
    <w:p w14:paraId="20B8154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b)估价报告中对估价对象的描述和分析应客观、公正，不带有任何情感性、诱导性或与估价过程无关的表述；</w:t>
      </w:r>
    </w:p>
    <w:p w14:paraId="0BC043D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c)估价报告应以中文撰写打印，如需要以外文出具的，其内容应与中文报告一致，并在报告中注明以中文格式为准；</w:t>
      </w:r>
    </w:p>
    <w:p w14:paraId="3467D59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d)按国家有关规定需要备案的估价报告，应在提交给委托方之前先予备案。</w:t>
      </w:r>
    </w:p>
    <w:p w14:paraId="7F8D7D4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54" w:name="_Toc170647223"/>
      <w:bookmarkStart w:id="255" w:name="_Toc171186522"/>
      <w:bookmarkStart w:id="256" w:name="_Toc168762512"/>
      <w:bookmarkStart w:id="257" w:name="_Toc171687488"/>
      <w:bookmarkStart w:id="258" w:name="_Toc171693083"/>
      <w:r>
        <w:rPr>
          <w:rFonts w:hint="eastAsia" w:ascii="FangSong_GB2312" w:hAnsi="FangSong_GB2312" w:eastAsia="FangSong_GB2312" w:cs="FangSong_GB2312"/>
          <w:sz w:val="32"/>
          <w:szCs w:val="32"/>
        </w:rPr>
        <w:t>6.2.7整理归集估价档案</w:t>
      </w:r>
      <w:bookmarkEnd w:id="254"/>
      <w:bookmarkEnd w:id="255"/>
      <w:bookmarkEnd w:id="256"/>
      <w:bookmarkEnd w:id="257"/>
      <w:bookmarkEnd w:id="258"/>
    </w:p>
    <w:p w14:paraId="3129BED7">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napToGrid/>
          <w:color w:val="auto"/>
          <w:sz w:val="32"/>
          <w:szCs w:val="32"/>
        </w:rPr>
        <w:t>完成并出具估价报告后，应对有关该估价项目的全部必要资料进行整理、归档和妥善保管；估价资料档案的保存时间遵照《资产评估法》及相关部门的管理规定执行。</w:t>
      </w:r>
    </w:p>
    <w:p w14:paraId="696F2BC0">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259" w:name="_Toc132269032"/>
      <w:bookmarkStart w:id="260" w:name="_Toc134085019"/>
      <w:bookmarkStart w:id="261" w:name="_Toc132285872"/>
      <w:bookmarkStart w:id="262" w:name="_Toc171693094"/>
      <w:bookmarkStart w:id="263" w:name="_Toc132183552"/>
      <w:bookmarkStart w:id="264" w:name="_Toc132185041"/>
      <w:bookmarkStart w:id="265" w:name="_Toc132184976"/>
      <w:bookmarkStart w:id="266" w:name="_Toc132185303"/>
      <w:bookmarkStart w:id="267" w:name="_Toc132290145"/>
      <w:bookmarkStart w:id="268" w:name="_Toc132185172"/>
      <w:bookmarkStart w:id="269" w:name="_Toc134621206"/>
      <w:bookmarkStart w:id="270" w:name="_Toc132185107"/>
      <w:r>
        <w:rPr>
          <w:rFonts w:hint="eastAsia" w:hAnsi="黑体" w:cs="黑体"/>
          <w:sz w:val="32"/>
          <w:szCs w:val="32"/>
        </w:rPr>
        <w:t>7评估模式</w:t>
      </w:r>
      <w:bookmarkEnd w:id="259"/>
      <w:bookmarkEnd w:id="260"/>
      <w:bookmarkEnd w:id="261"/>
      <w:bookmarkEnd w:id="262"/>
      <w:bookmarkEnd w:id="263"/>
      <w:bookmarkEnd w:id="264"/>
      <w:bookmarkEnd w:id="265"/>
      <w:bookmarkEnd w:id="266"/>
      <w:bookmarkEnd w:id="267"/>
      <w:bookmarkEnd w:id="268"/>
      <w:bookmarkEnd w:id="269"/>
      <w:bookmarkEnd w:id="270"/>
    </w:p>
    <w:p w14:paraId="6DF6039C">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71" w:name="_Toc132185173"/>
      <w:bookmarkStart w:id="272" w:name="_Toc132183553"/>
      <w:bookmarkStart w:id="273" w:name="_Toc132185304"/>
      <w:bookmarkStart w:id="274" w:name="_Toc132185108"/>
      <w:bookmarkStart w:id="275" w:name="_Toc132185042"/>
      <w:bookmarkStart w:id="276" w:name="_Toc134621207"/>
      <w:bookmarkStart w:id="277" w:name="_Toc132269033"/>
      <w:bookmarkStart w:id="278" w:name="_Toc132184977"/>
      <w:bookmarkStart w:id="279" w:name="_Toc134085020"/>
      <w:bookmarkStart w:id="280" w:name="_Toc132285873"/>
      <w:bookmarkStart w:id="281" w:name="_Toc132290146"/>
      <w:bookmarkStart w:id="282" w:name="_Toc171693095"/>
      <w:r>
        <w:rPr>
          <w:rFonts w:hint="eastAsia" w:ascii="楷体_GB2312" w:hAnsi="楷体_GB2312" w:eastAsia="楷体_GB2312" w:cs="楷体_GB2312"/>
          <w:snapToGrid w:val="0"/>
          <w:color w:val="000000"/>
          <w:sz w:val="32"/>
          <w:szCs w:val="32"/>
        </w:rPr>
        <w:t>7.1评估模式</w:t>
      </w:r>
      <w:bookmarkEnd w:id="271"/>
      <w:bookmarkEnd w:id="272"/>
      <w:bookmarkEnd w:id="273"/>
      <w:bookmarkEnd w:id="274"/>
      <w:bookmarkEnd w:id="275"/>
      <w:bookmarkEnd w:id="276"/>
      <w:bookmarkEnd w:id="277"/>
      <w:bookmarkEnd w:id="278"/>
      <w:bookmarkEnd w:id="279"/>
      <w:bookmarkEnd w:id="280"/>
      <w:bookmarkEnd w:id="281"/>
      <w:r>
        <w:rPr>
          <w:rFonts w:hint="eastAsia" w:ascii="楷体_GB2312" w:hAnsi="楷体_GB2312" w:eastAsia="楷体_GB2312" w:cs="楷体_GB2312"/>
          <w:snapToGrid w:val="0"/>
          <w:color w:val="000000"/>
          <w:sz w:val="32"/>
          <w:szCs w:val="32"/>
        </w:rPr>
        <w:t>的种类</w:t>
      </w:r>
      <w:bookmarkEnd w:id="282"/>
    </w:p>
    <w:p w14:paraId="01066E5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整体评估模式分为以下两种：</w:t>
      </w:r>
    </w:p>
    <w:p w14:paraId="7FAC5D0A">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a)合估模式：以资产包整体为对象，先行评估资产包整体价格水平，再根据需要，以整体价格为基础，分别测算得到各门类自然资源资产价格的评估模式。</w:t>
      </w:r>
    </w:p>
    <w:p w14:paraId="6AF57690">
      <w:pPr>
        <w:pStyle w:val="50"/>
        <w:numPr>
          <w:ilvl w:val="0"/>
          <w:numId w:val="0"/>
        </w:numPr>
        <w:adjustRightInd w:val="0"/>
        <w:snapToGrid w:val="0"/>
        <w:spacing w:line="560" w:lineRule="exact"/>
        <w:ind w:firstLine="640" w:firstLineChars="200"/>
        <w:jc w:val="lef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b)分估模式：以资产包中各门类自然资源及相应产权紧密结合、整体开发利用为前提，分别评估该资产包整体发挥效用下的各门类自然资源资产单项价格，再汇总形成资产包整体价格的评估模式。公式见式（1）。</w:t>
      </w:r>
    </w:p>
    <w:p w14:paraId="33A3D6B8">
      <w:pPr>
        <w:pStyle w:val="55"/>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P</w:t>
      </w:r>
      <w:r>
        <w:rPr>
          <w:rFonts w:hint="eastAsia" w:ascii="FangSong_GB2312" w:hAnsi="FangSong_GB2312" w:eastAsia="FangSong_GB2312" w:cs="FangSong_GB2312"/>
          <w:sz w:val="32"/>
          <w:szCs w:val="32"/>
          <w:vertAlign w:val="subscript"/>
        </w:rPr>
        <w:t>总</w:t>
      </w:r>
      <w:r>
        <w:rPr>
          <w:rFonts w:hint="eastAsia" w:ascii="FangSong_GB2312" w:hAnsi="FangSong_GB2312" w:eastAsia="FangSong_GB2312" w:cs="FangSong_GB2312"/>
          <w:sz w:val="32"/>
          <w:szCs w:val="32"/>
        </w:rPr>
        <w:t>=</w:t>
      </w:r>
      <m:oMath>
        <m:nary>
          <m:naryPr>
            <m:chr m:val="∑"/>
            <m:limLoc m:val="undOvr"/>
            <m:ctrlPr>
              <w:rPr>
                <w:rFonts w:hint="eastAsia" w:ascii="DejaVu Math TeX Gyre" w:hAnsi="DejaVu Math TeX Gyre" w:eastAsia="仿宋_GB2312" w:cs="仿宋_GB2312"/>
                <w:sz w:val="32"/>
                <w:szCs w:val="32"/>
              </w:rPr>
            </m:ctrlPr>
          </m:naryPr>
          <m:sub>
            <m:r>
              <m:rPr/>
              <w:rPr>
                <w:rFonts w:hint="eastAsia" w:ascii="DejaVu Math TeX Gyre" w:hAnsi="DejaVu Math TeX Gyre" w:eastAsia="仿宋_GB2312" w:cs="仿宋_GB2312"/>
                <w:sz w:val="32"/>
                <w:szCs w:val="32"/>
              </w:rPr>
              <m:t>i=1</m:t>
            </m:r>
            <m:ctrlPr>
              <w:rPr>
                <w:rFonts w:hint="eastAsia" w:ascii="DejaVu Math TeX Gyre" w:hAnsi="DejaVu Math TeX Gyre" w:eastAsia="仿宋_GB2312" w:cs="仿宋_GB2312"/>
                <w:sz w:val="32"/>
                <w:szCs w:val="32"/>
              </w:rPr>
            </m:ctrlPr>
          </m:sub>
          <m:sup>
            <m:r>
              <m:rPr/>
              <w:rPr>
                <w:rFonts w:hint="eastAsia" w:ascii="DejaVu Math TeX Gyre" w:hAnsi="DejaVu Math TeX Gyre" w:eastAsia="仿宋_GB2312" w:cs="仿宋_GB2312"/>
                <w:sz w:val="32"/>
                <w:szCs w:val="32"/>
              </w:rPr>
              <m:t>n</m:t>
            </m:r>
            <m:ctrlPr>
              <w:rPr>
                <w:rFonts w:hint="eastAsia" w:ascii="DejaVu Math TeX Gyre" w:hAnsi="DejaVu Math TeX Gyre" w:eastAsia="仿宋_GB2312" w:cs="仿宋_GB2312"/>
                <w:sz w:val="32"/>
                <w:szCs w:val="32"/>
              </w:rPr>
            </m:ctrlPr>
          </m:sup>
          <m:e>
            <m:sSub>
              <m:sSubPr>
                <m:ctrlPr>
                  <w:rPr>
                    <w:rFonts w:hint="eastAsia" w:ascii="DejaVu Math TeX Gyre" w:hAnsi="DejaVu Math TeX Gyre" w:eastAsia="仿宋_GB2312" w:cs="仿宋_GB2312"/>
                    <w:i/>
                    <w:sz w:val="32"/>
                    <w:szCs w:val="32"/>
                  </w:rPr>
                </m:ctrlPr>
              </m:sSubPr>
              <m:e>
                <m:r>
                  <m:rPr>
                    <m:sty m:val="p"/>
                  </m:rPr>
                  <w:rPr>
                    <w:rFonts w:hint="eastAsia" w:ascii="DejaVu Math TeX Gyre" w:hAnsi="DejaVu Math TeX Gyre" w:eastAsia="仿宋_GB2312" w:cs="仿宋_GB2312"/>
                    <w:sz w:val="32"/>
                    <w:szCs w:val="32"/>
                  </w:rPr>
                  <m:t>p</m:t>
                </m:r>
                <m:ctrlPr>
                  <w:rPr>
                    <w:rFonts w:hint="eastAsia" w:ascii="DejaVu Math TeX Gyre" w:hAnsi="DejaVu Math TeX Gyre" w:eastAsia="仿宋_GB2312" w:cs="仿宋_GB2312"/>
                    <w:i/>
                    <w:sz w:val="32"/>
                    <w:szCs w:val="32"/>
                  </w:rPr>
                </m:ctrlPr>
              </m:e>
              <m:sub>
                <m:r>
                  <m:rPr/>
                  <w:rPr>
                    <w:rFonts w:hint="eastAsia" w:ascii="DejaVu Math TeX Gyre" w:hAnsi="DejaVu Math TeX Gyre" w:eastAsia="仿宋_GB2312" w:cs="仿宋_GB2312"/>
                    <w:sz w:val="32"/>
                    <w:szCs w:val="32"/>
                  </w:rPr>
                  <m:t>i</m:t>
                </m:r>
                <m:ctrlPr>
                  <w:rPr>
                    <w:rFonts w:hint="eastAsia" w:ascii="DejaVu Math TeX Gyre" w:hAnsi="DejaVu Math TeX Gyre" w:eastAsia="仿宋_GB2312" w:cs="仿宋_GB2312"/>
                    <w:i/>
                    <w:sz w:val="32"/>
                    <w:szCs w:val="32"/>
                  </w:rPr>
                </m:ctrlPr>
              </m:sub>
            </m:sSub>
            <m:ctrlPr>
              <w:rPr>
                <w:rFonts w:hint="eastAsia" w:ascii="DejaVu Math TeX Gyre" w:hAnsi="DejaVu Math TeX Gyre" w:eastAsia="仿宋_GB2312" w:cs="仿宋_GB2312"/>
                <w:sz w:val="32"/>
                <w:szCs w:val="32"/>
              </w:rPr>
            </m:ctrlPr>
          </m:e>
        </m:nary>
      </m:oMath>
      <w:r>
        <w:rPr>
          <w:rFonts w:hint="eastAsia" w:ascii="FangSong_GB2312" w:hAnsi="FangSong_GB2312" w:eastAsia="FangSong_GB2312" w:cs="FangSong_GB2312"/>
          <w:sz w:val="32"/>
          <w:szCs w:val="32"/>
        </w:rPr>
        <w:t>……………………(1)</w:t>
      </w:r>
    </w:p>
    <w:p w14:paraId="02FB04EB">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式中：P</w:t>
      </w:r>
      <w:r>
        <w:rPr>
          <w:rFonts w:hint="eastAsia" w:ascii="FangSong_GB2312" w:hAnsi="FangSong_GB2312" w:eastAsia="FangSong_GB2312" w:cs="FangSong_GB2312"/>
          <w:sz w:val="32"/>
          <w:szCs w:val="32"/>
          <w:vertAlign w:val="subscript"/>
        </w:rPr>
        <w:t>总</w:t>
      </w:r>
      <w:r>
        <w:rPr>
          <w:rFonts w:hint="eastAsia" w:ascii="FangSong_GB2312" w:hAnsi="FangSong_GB2312" w:eastAsia="FangSong_GB2312" w:cs="FangSong_GB2312"/>
          <w:sz w:val="32"/>
          <w:szCs w:val="32"/>
        </w:rPr>
        <w:t>——资产包整体价格；</w:t>
      </w:r>
    </w:p>
    <w:p w14:paraId="7359C57E">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P</w:t>
      </w:r>
      <w:r>
        <w:rPr>
          <w:rFonts w:hint="eastAsia" w:ascii="FangSong_GB2312" w:hAnsi="FangSong_GB2312" w:eastAsia="FangSong_GB2312" w:cs="FangSong_GB2312"/>
          <w:sz w:val="32"/>
          <w:szCs w:val="32"/>
          <w:vertAlign w:val="subscript"/>
        </w:rPr>
        <w:t>i</w:t>
      </w:r>
      <w:r>
        <w:rPr>
          <w:rFonts w:hint="eastAsia" w:ascii="FangSong_GB2312" w:hAnsi="FangSong_GB2312" w:eastAsia="FangSong_GB2312" w:cs="FangSong_GB2312"/>
          <w:sz w:val="32"/>
          <w:szCs w:val="32"/>
        </w:rPr>
        <w:t>——构成资产包的各门类自然资源资产的价格；</w:t>
      </w:r>
    </w:p>
    <w:p w14:paraId="41BAE60F">
      <w:pPr>
        <w:pStyle w:val="50"/>
        <w:widowControl w:val="0"/>
        <w:numPr>
          <w:ilvl w:val="0"/>
          <w:numId w:val="0"/>
        </w:numPr>
        <w:adjustRightInd w:val="0"/>
        <w:spacing w:line="560" w:lineRule="exact"/>
        <w:ind w:firstLine="1600" w:firstLineChars="5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n——构成资产包的自然资源资产门类数量。</w:t>
      </w:r>
    </w:p>
    <w:p w14:paraId="63D1A029">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83" w:name="_Toc132185043"/>
      <w:bookmarkStart w:id="284" w:name="_Toc132285874"/>
      <w:bookmarkStart w:id="285" w:name="_Toc132184978"/>
      <w:bookmarkStart w:id="286" w:name="_Toc132269034"/>
      <w:bookmarkStart w:id="287" w:name="_Toc132290147"/>
      <w:bookmarkStart w:id="288" w:name="_Toc134621208"/>
      <w:bookmarkStart w:id="289" w:name="_Toc132185174"/>
      <w:bookmarkStart w:id="290" w:name="_Toc132185305"/>
      <w:bookmarkStart w:id="291" w:name="_Toc132183554"/>
      <w:bookmarkStart w:id="292" w:name="_Toc171693096"/>
      <w:bookmarkStart w:id="293" w:name="_Toc132185109"/>
      <w:bookmarkStart w:id="294" w:name="_Toc134085021"/>
      <w:r>
        <w:rPr>
          <w:rFonts w:hint="eastAsia" w:ascii="楷体_GB2312" w:hAnsi="楷体_GB2312" w:eastAsia="楷体_GB2312" w:cs="楷体_GB2312"/>
          <w:snapToGrid w:val="0"/>
          <w:color w:val="000000"/>
          <w:sz w:val="32"/>
          <w:szCs w:val="32"/>
        </w:rPr>
        <w:t>7.2评估模式的选择</w:t>
      </w:r>
      <w:bookmarkEnd w:id="283"/>
      <w:bookmarkEnd w:id="284"/>
      <w:bookmarkEnd w:id="285"/>
      <w:bookmarkEnd w:id="286"/>
      <w:bookmarkEnd w:id="287"/>
      <w:bookmarkEnd w:id="288"/>
      <w:bookmarkEnd w:id="289"/>
      <w:bookmarkEnd w:id="290"/>
      <w:bookmarkEnd w:id="291"/>
      <w:bookmarkEnd w:id="292"/>
      <w:bookmarkEnd w:id="293"/>
      <w:bookmarkEnd w:id="294"/>
    </w:p>
    <w:p w14:paraId="049D99AA">
      <w:pPr>
        <w:pStyle w:val="36"/>
        <w:widowControl w:val="0"/>
        <w:kinsoku/>
        <w:autoSpaceDE/>
        <w:autoSpaceDN/>
        <w:adjustRightInd w:val="0"/>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在充分关注自然资源资产组合形成的系统性、整体性效用的基础上，根据资产包的具体组合模式、效用特征与限制性条件，整体评估可在分估、合估两种操作模式中择一使用，或同时兼用。</w:t>
      </w:r>
    </w:p>
    <w:p w14:paraId="5947A1A8">
      <w:pPr>
        <w:pStyle w:val="36"/>
        <w:widowControl w:val="0"/>
        <w:kinsoku/>
        <w:autoSpaceDE/>
        <w:autoSpaceDN/>
        <w:adjustRightInd w:val="0"/>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a)当资产包中各类资源间具有较强的相互依存性，且某些资源不能单独给产权人带来收益，或资产包的整体收益仅能够通过某类资源资产实现时，宜采用合估模式；</w:t>
      </w:r>
    </w:p>
    <w:p w14:paraId="0BFEE8C1">
      <w:pPr>
        <w:pStyle w:val="36"/>
        <w:widowControl w:val="0"/>
        <w:kinsoku/>
        <w:autoSpaceDE/>
        <w:autoSpaceDN/>
        <w:adjustRightInd w:val="0"/>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b)当自然资源资产包内某类资源及其权利可给产权人带来直接或潜在收益，并能通过该类资源或该种权利进行量化时，宜采用分估模式。</w:t>
      </w:r>
    </w:p>
    <w:p w14:paraId="7BCF9DCA">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95" w:name="_Toc171693097"/>
      <w:r>
        <w:rPr>
          <w:rFonts w:hint="eastAsia" w:ascii="楷体_GB2312" w:hAnsi="楷体_GB2312" w:eastAsia="楷体_GB2312" w:cs="楷体_GB2312"/>
          <w:snapToGrid w:val="0"/>
          <w:color w:val="000000"/>
          <w:sz w:val="32"/>
          <w:szCs w:val="32"/>
        </w:rPr>
        <w:t>7.3合估模式中的价格分摊</w:t>
      </w:r>
      <w:bookmarkEnd w:id="295"/>
    </w:p>
    <w:p w14:paraId="0F8ED6E8">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96" w:name="_Toc171687503"/>
      <w:bookmarkStart w:id="297" w:name="_Toc171693098"/>
      <w:r>
        <w:rPr>
          <w:rFonts w:hint="eastAsia" w:ascii="FangSong_GB2312" w:hAnsi="FangSong_GB2312" w:eastAsia="FangSong_GB2312" w:cs="FangSong_GB2312"/>
          <w:sz w:val="32"/>
          <w:szCs w:val="32"/>
        </w:rPr>
        <w:t>7.3.1按基础价格比例分摊</w:t>
      </w:r>
      <w:bookmarkEnd w:id="296"/>
      <w:bookmarkEnd w:id="297"/>
    </w:p>
    <w:p w14:paraId="537D2AC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该方法适用于资产包内需分别定价的各门类自然资源资产存在单独交易或单独定价的市场环境情况，以能够分别测算非组合供应下，各门类自然资源资产价格（即基础价格）为前提，方法与要求如下。</w:t>
      </w:r>
    </w:p>
    <w:p w14:paraId="2E54BC9A">
      <w:pPr>
        <w:pStyle w:val="36"/>
        <w:widowControl w:val="0"/>
        <w:kinsoku/>
        <w:autoSpaceDE/>
        <w:autoSpaceDN/>
        <w:adjustRightInd w:val="0"/>
        <w:snapToGrid/>
        <w:spacing w:line="560" w:lineRule="exact"/>
        <w:ind w:firstLine="420"/>
        <w:rPr>
          <w:rFonts w:ascii="FangSong_GB2312" w:hAnsi="FangSong_GB2312" w:eastAsia="FangSong_GB2312" w:cs="FangSong_GB2312"/>
          <w:sz w:val="32"/>
          <w:szCs w:val="32"/>
        </w:rPr>
      </w:pPr>
      <w:r>
        <w:drawing>
          <wp:anchor distT="0" distB="0" distL="114300" distR="114300" simplePos="0" relativeHeight="251659264" behindDoc="0" locked="0" layoutInCell="1" allowOverlap="1">
            <wp:simplePos x="0" y="0"/>
            <wp:positionH relativeFrom="column">
              <wp:posOffset>432435</wp:posOffset>
            </wp:positionH>
            <wp:positionV relativeFrom="paragraph">
              <wp:posOffset>325755</wp:posOffset>
            </wp:positionV>
            <wp:extent cx="2343150" cy="552450"/>
            <wp:effectExtent l="0" t="0" r="0" b="0"/>
            <wp:wrapNone/>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7"/>
                    <a:stretch>
                      <a:fillRect/>
                    </a:stretch>
                  </pic:blipFill>
                  <pic:spPr>
                    <a:xfrm>
                      <a:off x="0" y="0"/>
                      <a:ext cx="2343150" cy="552450"/>
                    </a:xfrm>
                    <a:prstGeom prst="rect">
                      <a:avLst/>
                    </a:prstGeom>
                    <a:noFill/>
                    <a:ln>
                      <a:noFill/>
                    </a:ln>
                  </pic:spPr>
                </pic:pic>
              </a:graphicData>
            </a:graphic>
          </wp:anchor>
        </w:drawing>
      </w:r>
      <w:r>
        <w:rPr>
          <w:rFonts w:ascii="FangSong_GB2312" w:hAnsi="FangSong_GB2312" w:eastAsia="FangSong_GB2312" w:cs="FangSong_GB2312"/>
          <w:sz w:val="32"/>
          <w:szCs w:val="32"/>
        </w:rPr>
        <w:t>a)基本公式：</w:t>
      </w:r>
    </w:p>
    <w:p w14:paraId="0E8CD488">
      <w:pPr>
        <w:pStyle w:val="55"/>
        <w:snapToGrid w:val="0"/>
        <w:spacing w:line="560" w:lineRule="exact"/>
        <w:jc w:val="center"/>
        <w:rPr>
          <w:rFonts w:hint="eastAsia" w:ascii="FangSong_GB2312" w:hAnsi="FangSong_GB2312" w:eastAsia="FangSong_GB2312" w:cs="FangSong_GB2312"/>
          <w:sz w:val="32"/>
          <w:szCs w:val="32"/>
        </w:rPr>
      </w:pPr>
      <w:r>
        <w:rPr>
          <w:rFonts w:ascii="FangSong_GB2312" w:hAnsi="FangSong_GB2312" w:eastAsia="FangSong_GB2312" w:cs="FangSong_GB2312"/>
          <w:sz w:val="32"/>
          <w:szCs w:val="32"/>
        </w:rPr>
        <w:t xml:space="preserve">             </w:t>
      </w:r>
      <w:r>
        <w:rPr>
          <w:rFonts w:hint="eastAsia" w:ascii="FangSong_GB2312" w:hAnsi="FangSong_GB2312" w:eastAsia="FangSong_GB2312" w:cs="FangSong_GB2312"/>
          <w:sz w:val="32"/>
          <w:szCs w:val="32"/>
        </w:rPr>
        <w:t>……………………………(2)</w:t>
      </w:r>
    </w:p>
    <w:p w14:paraId="64354C84">
      <w:pPr>
        <w:pStyle w:val="54"/>
        <w:ind w:firstLine="420"/>
        <w:rPr>
          <w:rFonts w:hint="eastAsia"/>
        </w:rPr>
      </w:pPr>
    </w:p>
    <w:p w14:paraId="79FEABC6">
      <w:pPr>
        <w:pStyle w:val="55"/>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式中：</w:t>
      </w:r>
      <w:r>
        <w:rPr>
          <w:rFonts w:hint="eastAsia" w:ascii="DejaVu Math TeX Gyre" w:hAnsi="DejaVu Math TeX Gyre" w:eastAsia="FangSong_GB2312" w:cs="FangSong_GB2312"/>
          <w:sz w:val="32"/>
          <w:szCs w:val="32"/>
        </w:rPr>
        <w:t>∆V</w:t>
      </w:r>
      <w:r>
        <w:rPr>
          <w:rFonts w:hint="eastAsia" w:ascii="FangSong_GB2312" w:hAnsi="FangSong_GB2312" w:eastAsia="FangSong_GB2312" w:cs="FangSong_GB2312"/>
          <w:sz w:val="32"/>
          <w:szCs w:val="32"/>
        </w:rPr>
        <w:t>——组合溢价，因资产包整体开发运营关联因素和规模效应等影响带来的，市场主体可接受的价格增加额；</w:t>
      </w:r>
    </w:p>
    <w:p w14:paraId="701C80FC">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V</w:t>
      </w:r>
      <w:r>
        <w:rPr>
          <w:rFonts w:hint="eastAsia" w:ascii="DejaVu Math TeX Gyre" w:hAnsi="DejaVu Math TeX Gyre" w:eastAsia="FangSong_GB2312" w:cs="FangSong_GB2312"/>
          <w:sz w:val="32"/>
          <w:szCs w:val="32"/>
          <w:vertAlign w:val="subscript"/>
        </w:rPr>
        <w:t>i</w:t>
      </w:r>
      <w:r>
        <w:rPr>
          <w:rFonts w:hint="eastAsia" w:ascii="FangSong_GB2312" w:hAnsi="FangSong_GB2312" w:eastAsia="FangSong_GB2312" w:cs="FangSong_GB2312"/>
          <w:sz w:val="32"/>
          <w:szCs w:val="32"/>
        </w:rPr>
        <w:t>——从合估总价中分摊得到的第i类资源价格；</w:t>
      </w:r>
    </w:p>
    <w:p w14:paraId="27EFE10E">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P</w:t>
      </w:r>
      <w:r>
        <w:rPr>
          <w:rFonts w:hint="eastAsia" w:ascii="DejaVu Math TeX Gyre" w:hAnsi="DejaVu Math TeX Gyre" w:eastAsia="FangSong_GB2312" w:cs="FangSong_GB2312"/>
          <w:sz w:val="32"/>
          <w:szCs w:val="32"/>
          <w:vertAlign w:val="subscript"/>
        </w:rPr>
        <w:t>i</w:t>
      </w:r>
      <w:r>
        <w:rPr>
          <w:rFonts w:hint="eastAsia" w:ascii="FangSong_GB2312" w:hAnsi="FangSong_GB2312" w:eastAsia="FangSong_GB2312" w:cs="FangSong_GB2312"/>
          <w:sz w:val="32"/>
          <w:szCs w:val="32"/>
        </w:rPr>
        <w:t>——非组合供应情境下，第i类资源资产价格</w:t>
      </w:r>
    </w:p>
    <w:p w14:paraId="50ECB06E">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（基础价格）；</w:t>
      </w:r>
    </w:p>
    <w:p w14:paraId="0FA5309A">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P</w:t>
      </w:r>
      <w:r>
        <w:rPr>
          <w:rFonts w:hint="eastAsia" w:ascii="FangSong_GB2312" w:hAnsi="FangSong_GB2312" w:eastAsia="FangSong_GB2312" w:cs="FangSong_GB2312"/>
          <w:sz w:val="32"/>
          <w:szCs w:val="32"/>
        </w:rPr>
        <w:t>——非组合供应情境下，资产包内涉及的各类</w:t>
      </w:r>
    </w:p>
    <w:p w14:paraId="029FBC45">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资源资产价格（基础价格）之和。</w:t>
      </w:r>
    </w:p>
    <w:p w14:paraId="5B12A24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b)主要参数：</w:t>
      </w:r>
    </w:p>
    <w:p w14:paraId="265AF78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∆V的测算思路包括但不限于以下两种：</w:t>
      </w:r>
    </w:p>
    <w:p w14:paraId="643207C6">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市场提取法。搜集一定数量的单独供应和组合供应案例，在统一价格内涵基础上（不包括供应方式），进行区域因素、个别因素等其他条件的修正，得到各自修正后的可比价格，比较两类价格水平的差异，求取整体评估视角下的组合溢价。</w:t>
      </w:r>
    </w:p>
    <w:p w14:paraId="0E39118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Ⅱ.调查分析法。通过调查相关开发经营主体在组合供应、单独供应模式下的出价意向差异，估算组合溢价。</w:t>
      </w:r>
    </w:p>
    <w:p w14:paraId="7BE9B5A2">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98" w:name="_Toc171693099"/>
      <w:bookmarkStart w:id="299" w:name="_Toc171687504"/>
      <w:r>
        <w:rPr>
          <w:rFonts w:hint="eastAsia" w:ascii="FangSong_GB2312" w:hAnsi="FangSong_GB2312" w:eastAsia="FangSong_GB2312" w:cs="FangSong_GB2312"/>
          <w:sz w:val="32"/>
          <w:szCs w:val="32"/>
        </w:rPr>
        <w:t>7.3.2按成本或贡献分摊</w:t>
      </w:r>
      <w:bookmarkEnd w:id="298"/>
      <w:bookmarkEnd w:id="299"/>
    </w:p>
    <w:p w14:paraId="09D8B8F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该方法适用于资产包内除某类自然资源资产作为核心资产外，其他构成要素仅用于辅助核心资产效用的发挥，无独立收益或市场价值，亦不会单独交易的情况，公式如下。</w:t>
      </w:r>
    </w:p>
    <w:p w14:paraId="5C0DE9A8">
      <w:pPr>
        <w:pStyle w:val="36"/>
        <w:widowControl w:val="0"/>
        <w:kinsoku/>
        <w:autoSpaceDE/>
        <w:autoSpaceDN/>
        <w:adjustRightInd w:val="0"/>
        <w:snapToGrid/>
        <w:spacing w:line="560" w:lineRule="exact"/>
        <w:ind w:firstLine="640"/>
      </w:pPr>
      <w:r>
        <w:rPr>
          <w:rFonts w:ascii="FangSong_GB2312" w:hAnsi="FangSong_GB2312" w:eastAsia="FangSong_GB2312" w:cs="FangSong_GB2312"/>
          <w:sz w:val="32"/>
          <w:szCs w:val="32"/>
        </w:rPr>
        <w:t>a)按成本分摊：</w:t>
      </w:r>
      <w:r>
        <w:drawing>
          <wp:anchor distT="0" distB="0" distL="114300" distR="114300" simplePos="0" relativeHeight="251660288" behindDoc="0" locked="0" layoutInCell="1" allowOverlap="1">
            <wp:simplePos x="0" y="0"/>
            <wp:positionH relativeFrom="column">
              <wp:posOffset>1266825</wp:posOffset>
            </wp:positionH>
            <wp:positionV relativeFrom="paragraph">
              <wp:posOffset>309880</wp:posOffset>
            </wp:positionV>
            <wp:extent cx="1981200" cy="676275"/>
            <wp:effectExtent l="0" t="0" r="0" b="9525"/>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pic:cNvPicPr>
                  </pic:nvPicPr>
                  <pic:blipFill>
                    <a:blip r:embed="rId8"/>
                    <a:stretch>
                      <a:fillRect/>
                    </a:stretch>
                  </pic:blipFill>
                  <pic:spPr>
                    <a:xfrm>
                      <a:off x="0" y="0"/>
                      <a:ext cx="1981200" cy="676275"/>
                    </a:xfrm>
                    <a:prstGeom prst="rect">
                      <a:avLst/>
                    </a:prstGeom>
                    <a:noFill/>
                    <a:ln>
                      <a:noFill/>
                    </a:ln>
                  </pic:spPr>
                </pic:pic>
              </a:graphicData>
            </a:graphic>
          </wp:anchor>
        </w:drawing>
      </w:r>
      <w:r>
        <w:rPr>
          <w:rFonts w:ascii="DejaVu Math TeX Gyre" w:hAnsi="DejaVu Math TeX Gyre" w:eastAsia="FangSong_GB2312" w:cs="FangSong_GB2312"/>
          <w:sz w:val="32"/>
          <w:szCs w:val="32"/>
        </w:rPr>
        <w:br w:type="textWrapping"/>
      </w:r>
      <w:r>
        <w:rPr>
          <w:rFonts w:ascii="DejaVu Math TeX Gyre" w:hAnsi="DejaVu Math TeX Gyre" w:eastAsia="FangSong_GB2312" w:cs="FangSong_GB2312"/>
          <w:sz w:val="32"/>
          <w:szCs w:val="32"/>
        </w:rPr>
        <w:t xml:space="preserve">                                 </w:t>
      </w:r>
      <w:r>
        <w:rPr>
          <w:rFonts w:ascii="FangSong_GB2312" w:hAnsi="FangSong_GB2312" w:eastAsia="FangSong_GB2312" w:cs="FangSong_GB2312"/>
          <w:sz w:val="32"/>
          <w:szCs w:val="32"/>
        </w:rPr>
        <w:t>……………………(3)</w:t>
      </w:r>
    </w:p>
    <w:p w14:paraId="34F8D853">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p>
    <w:p w14:paraId="6689595A">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式中：</w:t>
      </w:r>
      <w:r>
        <w:rPr>
          <w:rFonts w:hint="eastAsia" w:ascii="DejaVu Math TeX Gyre" w:hAnsi="DejaVu Math TeX Gyre" w:eastAsia="FangSong_GB2312" w:cs="FangSong_GB2312"/>
          <w:sz w:val="32"/>
          <w:szCs w:val="32"/>
        </w:rPr>
        <w:t>V</w:t>
      </w:r>
      <w:r>
        <w:rPr>
          <w:rFonts w:hint="eastAsia" w:ascii="FangSong_GB2312" w:hAnsi="FangSong_GB2312" w:eastAsia="FangSong_GB2312" w:cs="FangSong_GB2312"/>
          <w:sz w:val="32"/>
          <w:szCs w:val="32"/>
        </w:rPr>
        <w:t>——合估模式测算的资产包整体价格；</w:t>
      </w:r>
    </w:p>
    <w:p w14:paraId="10696C65">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V</w:t>
      </w:r>
      <w:r>
        <w:rPr>
          <w:rFonts w:hint="eastAsia" w:ascii="DejaVu Math TeX Gyre" w:hAnsi="DejaVu Math TeX Gyre" w:eastAsia="FangSong_GB2312" w:cs="FangSong_GB2312"/>
          <w:sz w:val="32"/>
          <w:szCs w:val="32"/>
          <w:vertAlign w:val="subscript"/>
        </w:rPr>
        <w:t>i</w:t>
      </w:r>
      <w:r>
        <w:rPr>
          <w:rFonts w:hint="eastAsia" w:ascii="FangSong_GB2312" w:hAnsi="FangSong_GB2312" w:eastAsia="FangSong_GB2312" w:cs="FangSong_GB2312"/>
          <w:sz w:val="32"/>
          <w:szCs w:val="32"/>
        </w:rPr>
        <w:t>——从合估总价中分摊得到的第i类自然资源</w:t>
      </w:r>
    </w:p>
    <w:p w14:paraId="2BFA2D3D">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资产价格；</w:t>
      </w:r>
    </w:p>
    <w:p w14:paraId="77942011">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i/>
          <w:sz w:val="32"/>
          <w:szCs w:val="32"/>
        </w:rPr>
        <w:t>C</w:t>
      </w:r>
      <w:r>
        <w:rPr>
          <w:rFonts w:hint="eastAsia" w:ascii="DejaVu Math TeX Gyre" w:hAnsi="DejaVu Math TeX Gyre" w:eastAsia="FangSong_GB2312" w:cs="FangSong_GB2312"/>
          <w:sz w:val="32"/>
          <w:szCs w:val="32"/>
          <w:vertAlign w:val="subscript"/>
        </w:rPr>
        <w:t>i</w:t>
      </w:r>
      <w:r>
        <w:rPr>
          <w:rFonts w:hint="eastAsia" w:ascii="FangSong_GB2312" w:hAnsi="FangSong_GB2312" w:eastAsia="FangSong_GB2312" w:cs="FangSong_GB2312"/>
          <w:sz w:val="32"/>
          <w:szCs w:val="32"/>
        </w:rPr>
        <w:t>——资产包中第i类自然资源资产的前期取得、</w:t>
      </w:r>
    </w:p>
    <w:p w14:paraId="15BD0F57">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管护等成本客观水平；</w:t>
      </w:r>
    </w:p>
    <w:p w14:paraId="140A9DF1">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n</w:t>
      </w:r>
      <w:r>
        <w:rPr>
          <w:rFonts w:hint="eastAsia" w:ascii="FangSong_GB2312" w:hAnsi="FangSong_GB2312" w:eastAsia="FangSong_GB2312" w:cs="FangSong_GB2312"/>
          <w:sz w:val="32"/>
          <w:szCs w:val="32"/>
        </w:rPr>
        <w:t>——资产包中包含的自然资源资产门类个数。</w:t>
      </w:r>
    </w:p>
    <w:p w14:paraId="759DE01A">
      <w:pPr>
        <w:pStyle w:val="36"/>
        <w:widowControl w:val="0"/>
        <w:kinsoku/>
        <w:autoSpaceDE/>
        <w:autoSpaceDN/>
        <w:adjustRightInd w:val="0"/>
        <w:snapToGrid/>
        <w:spacing w:line="560" w:lineRule="exact"/>
        <w:ind w:firstLine="420"/>
        <w:rPr>
          <w:rFonts w:ascii="FangSong_GB2312" w:hAnsi="FangSong_GB2312" w:eastAsia="FangSong_GB2312" w:cs="FangSong_GB2312"/>
          <w:sz w:val="32"/>
          <w:szCs w:val="32"/>
        </w:rPr>
      </w:pPr>
      <w:r>
        <w:drawing>
          <wp:anchor distT="0" distB="0" distL="114300" distR="114300" simplePos="0" relativeHeight="251662336" behindDoc="0" locked="0" layoutInCell="1" allowOverlap="1">
            <wp:simplePos x="0" y="0"/>
            <wp:positionH relativeFrom="column">
              <wp:posOffset>944880</wp:posOffset>
            </wp:positionH>
            <wp:positionV relativeFrom="paragraph">
              <wp:posOffset>316230</wp:posOffset>
            </wp:positionV>
            <wp:extent cx="1552575" cy="495300"/>
            <wp:effectExtent l="0" t="0" r="9525" b="0"/>
            <wp:wrapNone/>
            <wp:docPr id="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pic:cNvPicPr>
                      <a:picLocks noChangeAspect="1"/>
                    </pic:cNvPicPr>
                  </pic:nvPicPr>
                  <pic:blipFill>
                    <a:blip r:embed="rId9"/>
                    <a:stretch>
                      <a:fillRect/>
                    </a:stretch>
                  </pic:blipFill>
                  <pic:spPr>
                    <a:xfrm>
                      <a:off x="0" y="0"/>
                      <a:ext cx="1552575" cy="495300"/>
                    </a:xfrm>
                    <a:prstGeom prst="rect">
                      <a:avLst/>
                    </a:prstGeom>
                    <a:noFill/>
                    <a:ln>
                      <a:noFill/>
                    </a:ln>
                  </pic:spPr>
                </pic:pic>
              </a:graphicData>
            </a:graphic>
          </wp:anchor>
        </w:drawing>
      </w:r>
      <w:r>
        <w:rPr>
          <w:rFonts w:ascii="FangSong_GB2312" w:hAnsi="FangSong_GB2312" w:eastAsia="FangSong_GB2312" w:cs="FangSong_GB2312"/>
          <w:sz w:val="32"/>
          <w:szCs w:val="32"/>
        </w:rPr>
        <w:t>b)按贡献分摊：</w:t>
      </w:r>
    </w:p>
    <w:p w14:paraId="634DE1D4">
      <w:pPr>
        <w:pStyle w:val="55"/>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……………………………………(4)</w:t>
      </w:r>
    </w:p>
    <w:p w14:paraId="25797980">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式中：</w:t>
      </w:r>
      <w:r>
        <w:rPr>
          <w:rFonts w:hint="eastAsia" w:ascii="DejaVu Math TeX Gyre" w:hAnsi="DejaVu Math TeX Gyre" w:eastAsia="FangSong_GB2312" w:cs="FangSong_GB2312"/>
          <w:sz w:val="32"/>
          <w:szCs w:val="32"/>
        </w:rPr>
        <w:t>V</w:t>
      </w:r>
      <w:r>
        <w:rPr>
          <w:rFonts w:hint="eastAsia" w:ascii="FangSong_GB2312" w:hAnsi="FangSong_GB2312" w:eastAsia="FangSong_GB2312" w:cs="FangSong_GB2312"/>
          <w:sz w:val="32"/>
          <w:szCs w:val="32"/>
        </w:rPr>
        <w:t>——合估模式测算的资产包整体价格；</w:t>
      </w:r>
    </w:p>
    <w:p w14:paraId="669B95B1">
      <w:pPr>
        <w:pStyle w:val="50"/>
        <w:widowControl w:val="0"/>
        <w:numPr>
          <w:ilvl w:val="0"/>
          <w:numId w:val="0"/>
        </w:numPr>
        <w:adjustRightInd w:val="0"/>
        <w:spacing w:line="560" w:lineRule="exact"/>
        <w:ind w:left="851" w:firstLine="800" w:firstLineChars="250"/>
        <w:rPr>
          <w:rFonts w:hint="eastAsia" w:ascii="DejaVu Math TeX Gyre" w:hAnsi="DejaVu Math TeX Gyre" w:eastAsia="FangSong_GB2312" w:cs="FangSong_GB2312"/>
          <w:sz w:val="32"/>
          <w:szCs w:val="32"/>
        </w:rPr>
      </w:pPr>
      <w:r>
        <w:rPr>
          <w:rFonts w:hint="eastAsia" w:ascii="DejaVu Math TeX Gyre" w:hAnsi="DejaVu Math TeX Gyre" w:eastAsia="FangSong_GB2312" w:cs="FangSong_GB2312"/>
          <w:sz w:val="32"/>
          <w:szCs w:val="32"/>
        </w:rPr>
        <w:t>V</w:t>
      </w:r>
      <w:r>
        <w:rPr>
          <w:rFonts w:hint="eastAsia" w:ascii="DejaVu Math TeX Gyre" w:hAnsi="DejaVu Math TeX Gyre" w:eastAsia="FangSong_GB2312" w:cs="FangSong_GB2312"/>
          <w:sz w:val="32"/>
          <w:szCs w:val="32"/>
          <w:vertAlign w:val="subscript"/>
        </w:rPr>
        <w:t>i</w:t>
      </w:r>
      <w:r>
        <w:rPr>
          <w:rFonts w:hint="eastAsia" w:ascii="DejaVu Math TeX Gyre" w:hAnsi="DejaVu Math TeX Gyre" w:eastAsia="FangSong_GB2312" w:cs="FangSong_GB2312"/>
          <w:sz w:val="32"/>
          <w:szCs w:val="32"/>
        </w:rPr>
        <w:t>——从合估总价中分摊得到的第i类自然资源</w:t>
      </w:r>
    </w:p>
    <w:p w14:paraId="692F42EA">
      <w:pPr>
        <w:pStyle w:val="50"/>
        <w:widowControl w:val="0"/>
        <w:numPr>
          <w:ilvl w:val="0"/>
          <w:numId w:val="0"/>
        </w:numPr>
        <w:adjustRightInd w:val="0"/>
        <w:spacing w:line="560" w:lineRule="exact"/>
        <w:ind w:left="851" w:firstLine="800" w:firstLineChars="250"/>
        <w:rPr>
          <w:rFonts w:hint="eastAsia" w:ascii="DejaVu Math TeX Gyre" w:hAnsi="DejaVu Math TeX Gyre" w:eastAsia="FangSong_GB2312" w:cs="FangSong_GB2312"/>
          <w:sz w:val="32"/>
          <w:szCs w:val="32"/>
        </w:rPr>
      </w:pPr>
      <m:oMath>
        <m:sSub>
          <m:sSubPr>
            <m:ctrlPr>
              <w:rPr>
                <w:rFonts w:hint="eastAsia" w:ascii="DejaVu Math TeX Gyre" w:hAnsi="DejaVu Math TeX Gyre" w:eastAsia="仿宋_GB2312" w:cs="仿宋_GB2312"/>
                <w:sz w:val="32"/>
                <w:szCs w:val="32"/>
              </w:rPr>
            </m:ctrlPr>
          </m:sSubPr>
          <m:e>
            <m:r>
              <m:rPr>
                <m:sty m:val="p"/>
              </m:rPr>
              <w:rPr>
                <w:rFonts w:hint="eastAsia" w:ascii="DejaVu Math TeX Gyre" w:hAnsi="DejaVu Math TeX Gyre" w:eastAsia="仿宋_GB2312" w:cs="仿宋_GB2312"/>
                <w:sz w:val="32"/>
                <w:szCs w:val="32"/>
              </w:rPr>
              <m:t>V</m:t>
            </m:r>
            <m:ctrlPr>
              <w:rPr>
                <w:rFonts w:hint="eastAsia" w:ascii="DejaVu Math TeX Gyre" w:hAnsi="DejaVu Math TeX Gyre" w:eastAsia="仿宋_GB2312" w:cs="仿宋_GB2312"/>
                <w:sz w:val="32"/>
                <w:szCs w:val="32"/>
              </w:rPr>
            </m:ctrlPr>
          </m:e>
          <m:sub>
            <m:r>
              <m:rPr>
                <m:sty m:val="p"/>
              </m:rPr>
              <w:rPr>
                <w:rFonts w:hint="eastAsia" w:ascii="DejaVu Math TeX Gyre" w:hAnsi="DejaVu Math TeX Gyre" w:eastAsia="仿宋_GB2312" w:cs="仿宋_GB2312"/>
                <w:sz w:val="32"/>
                <w:szCs w:val="32"/>
              </w:rPr>
              <m:t>0</m:t>
            </m:r>
            <m:ctrlPr>
              <w:rPr>
                <w:rFonts w:hint="eastAsia" w:ascii="DejaVu Math TeX Gyre" w:hAnsi="DejaVu Math TeX Gyre" w:eastAsia="仿宋_GB2312" w:cs="仿宋_GB2312"/>
                <w:sz w:val="32"/>
                <w:szCs w:val="32"/>
              </w:rPr>
            </m:ctrlPr>
          </m:sub>
        </m:sSub>
      </m:oMath>
      <w:r>
        <w:rPr>
          <w:rFonts w:hint="eastAsia" w:ascii="DejaVu Math TeX Gyre" w:hAnsi="DejaVu Math TeX Gyre" w:eastAsia="FangSong_GB2312" w:cs="FangSong_GB2312"/>
          <w:sz w:val="32"/>
          <w:szCs w:val="32"/>
        </w:rPr>
        <w:t>资产价格；</w:t>
      </w:r>
    </w:p>
    <w:p w14:paraId="7156C1C3">
      <w:pPr>
        <w:pStyle w:val="50"/>
        <w:widowControl w:val="0"/>
        <w:numPr>
          <w:ilvl w:val="0"/>
          <w:numId w:val="0"/>
        </w:numPr>
        <w:adjustRightInd w:val="0"/>
        <w:spacing w:line="560" w:lineRule="exact"/>
        <w:ind w:left="851" w:firstLine="1280" w:firstLineChars="400"/>
        <w:rPr>
          <w:rFonts w:hint="eastAsia" w:ascii="DejaVu Math TeX Gyre" w:hAnsi="DejaVu Math TeX Gyre" w:eastAsia="FangSong_GB2312" w:cs="FangSong_GB2312"/>
          <w:sz w:val="32"/>
          <w:szCs w:val="32"/>
        </w:rPr>
      </w:pPr>
      <w:r>
        <w:rPr>
          <w:rFonts w:hint="eastAsia" w:ascii="DejaVu Math TeX Gyre" w:hAnsi="DejaVu Math TeX Gyre" w:eastAsia="FangSong_GB2312" w:cs="FangSong_GB2312"/>
          <w:sz w:val="32"/>
          <w:szCs w:val="32"/>
        </w:rPr>
        <w:t>——不包涵第i类自然资源资产时资产包价格。</w:t>
      </w:r>
    </w:p>
    <w:p w14:paraId="5D19AC6C">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300" w:name="_Toc132185175"/>
      <w:bookmarkStart w:id="301" w:name="_Toc132290148"/>
      <w:bookmarkStart w:id="302" w:name="_Toc132185044"/>
      <w:bookmarkStart w:id="303" w:name="_Toc134621209"/>
      <w:bookmarkStart w:id="304" w:name="_Toc134085022"/>
      <w:bookmarkStart w:id="305" w:name="_Toc171693100"/>
      <w:bookmarkStart w:id="306" w:name="_Toc132185306"/>
      <w:bookmarkStart w:id="307" w:name="_Toc132183562"/>
      <w:bookmarkStart w:id="308" w:name="_Toc132184979"/>
      <w:bookmarkStart w:id="309" w:name="_Toc132285875"/>
      <w:bookmarkStart w:id="310" w:name="_Toc132185110"/>
      <w:bookmarkStart w:id="311" w:name="_Toc132269035"/>
      <w:r>
        <w:rPr>
          <w:rFonts w:hint="eastAsia" w:hAnsi="黑体" w:cs="黑体"/>
          <w:sz w:val="32"/>
          <w:szCs w:val="32"/>
        </w:rPr>
        <w:t>8评估技术路径与方法</w:t>
      </w:r>
      <w:bookmarkEnd w:id="300"/>
      <w:bookmarkEnd w:id="301"/>
      <w:bookmarkEnd w:id="302"/>
      <w:bookmarkEnd w:id="303"/>
      <w:bookmarkEnd w:id="304"/>
      <w:bookmarkEnd w:id="305"/>
      <w:bookmarkEnd w:id="306"/>
      <w:bookmarkEnd w:id="307"/>
      <w:bookmarkEnd w:id="308"/>
      <w:bookmarkEnd w:id="309"/>
      <w:bookmarkEnd w:id="310"/>
      <w:bookmarkEnd w:id="311"/>
    </w:p>
    <w:p w14:paraId="24D339E2">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12" w:name="_Toc171693101"/>
      <w:r>
        <w:rPr>
          <w:rFonts w:hint="eastAsia" w:ascii="楷体_GB2312" w:hAnsi="楷体_GB2312" w:eastAsia="楷体_GB2312" w:cs="楷体_GB2312"/>
          <w:sz w:val="32"/>
          <w:szCs w:val="32"/>
        </w:rPr>
        <w:t>8.1一般规定</w:t>
      </w:r>
      <w:bookmarkEnd w:id="312"/>
    </w:p>
    <w:p w14:paraId="0BED7835">
      <w:pPr>
        <w:pStyle w:val="36"/>
        <w:widowControl w:val="0"/>
        <w:kinsoku/>
        <w:autoSpaceDE/>
        <w:autoSpaceDN/>
        <w:adjustRightInd w:val="0"/>
        <w:snapToGrid/>
        <w:spacing w:line="560" w:lineRule="exact"/>
        <w:ind w:firstLine="640"/>
        <w:rPr>
          <w:rFonts w:ascii="FangSong_GB2312" w:hAnsi="FangSong_GB2312" w:eastAsia="FangSong_GB2312" w:cs="FangSong_GB2312"/>
          <w:color w:val="auto"/>
          <w:sz w:val="32"/>
          <w:szCs w:val="32"/>
        </w:rPr>
      </w:pPr>
      <w:r>
        <w:rPr>
          <w:rFonts w:ascii="FangSong_GB2312" w:hAnsi="FangSong_GB2312" w:eastAsia="FangSong_GB2312" w:cs="FangSong_GB2312"/>
          <w:sz w:val="32"/>
          <w:szCs w:val="32"/>
        </w:rPr>
        <w:t>TD/T 1061中规定的主要技术路径及各门类自然资源估价规程中的既有评估方法均适用于整体评估,江西省主要自然资</w:t>
      </w:r>
      <w:r>
        <w:rPr>
          <w:rFonts w:ascii="FangSong_GB2312" w:hAnsi="FangSong_GB2312" w:eastAsia="FangSong_GB2312" w:cs="FangSong_GB2312"/>
          <w:color w:val="auto"/>
          <w:sz w:val="32"/>
          <w:szCs w:val="32"/>
        </w:rPr>
        <w:t>源的常用估价方法见表1。</w:t>
      </w:r>
    </w:p>
    <w:p w14:paraId="6B10014C">
      <w:pPr>
        <w:pStyle w:val="45"/>
        <w:numPr>
          <w:ilvl w:val="0"/>
          <w:numId w:val="0"/>
        </w:numPr>
        <w:spacing w:before="217" w:after="217" w:line="560" w:lineRule="exact"/>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表1 江西省主要自然资源的常用评估方法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4673"/>
        <w:gridCol w:w="2360"/>
      </w:tblGrid>
      <w:tr w14:paraId="453A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70" w:type="pct"/>
            <w:noWrap w:val="0"/>
            <w:vAlign w:val="center"/>
          </w:tcPr>
          <w:p w14:paraId="5B7758EC">
            <w:pPr>
              <w:spacing w:line="520" w:lineRule="exact"/>
              <w:jc w:val="center"/>
              <w:rPr>
                <w:rFonts w:hint="eastAsia" w:ascii="FangSong_GB2312" w:hAnsi="FangSong_GB2312" w:cs="FangSong_GB2312"/>
                <w:b/>
                <w:bCs/>
                <w:sz w:val="28"/>
                <w:szCs w:val="28"/>
              </w:rPr>
            </w:pPr>
            <w:r>
              <w:rPr>
                <w:rFonts w:hint="eastAsia" w:ascii="FangSong_GB2312" w:hAnsi="FangSong_GB2312" w:cs="FangSong_GB2312"/>
                <w:b/>
                <w:bCs/>
                <w:sz w:val="28"/>
                <w:szCs w:val="28"/>
              </w:rPr>
              <w:t>资源门类</w:t>
            </w:r>
          </w:p>
        </w:tc>
        <w:tc>
          <w:tcPr>
            <w:tcW w:w="2610" w:type="pct"/>
            <w:noWrap w:val="0"/>
            <w:vAlign w:val="center"/>
          </w:tcPr>
          <w:p w14:paraId="0A04DA96">
            <w:pPr>
              <w:spacing w:line="520" w:lineRule="exact"/>
              <w:jc w:val="center"/>
              <w:rPr>
                <w:rFonts w:hint="eastAsia" w:ascii="FangSong_GB2312" w:hAnsi="FangSong_GB2312" w:cs="FangSong_GB2312"/>
                <w:b/>
                <w:bCs/>
                <w:sz w:val="28"/>
                <w:szCs w:val="28"/>
              </w:rPr>
            </w:pPr>
            <w:r>
              <w:rPr>
                <w:rFonts w:hint="eastAsia" w:ascii="FangSong_GB2312" w:hAnsi="FangSong_GB2312" w:cs="FangSong_GB2312"/>
                <w:b/>
                <w:bCs/>
                <w:sz w:val="28"/>
                <w:szCs w:val="28"/>
              </w:rPr>
              <w:t>方法名称</w:t>
            </w:r>
          </w:p>
        </w:tc>
        <w:tc>
          <w:tcPr>
            <w:tcW w:w="1319" w:type="pct"/>
            <w:noWrap w:val="0"/>
            <w:vAlign w:val="top"/>
          </w:tcPr>
          <w:p w14:paraId="20ADBE2A">
            <w:pPr>
              <w:spacing w:line="520" w:lineRule="exact"/>
              <w:jc w:val="center"/>
              <w:rPr>
                <w:rFonts w:hint="eastAsia" w:ascii="FangSong_GB2312" w:hAnsi="FangSong_GB2312" w:cs="FangSong_GB2312"/>
                <w:b/>
                <w:bCs/>
                <w:sz w:val="28"/>
                <w:szCs w:val="28"/>
              </w:rPr>
            </w:pPr>
            <w:r>
              <w:rPr>
                <w:rFonts w:hint="eastAsia" w:ascii="FangSong_GB2312" w:hAnsi="FangSong_GB2312" w:cs="FangSong_GB2312"/>
                <w:b/>
                <w:bCs/>
                <w:sz w:val="28"/>
                <w:szCs w:val="28"/>
              </w:rPr>
              <w:t>主要技术标准</w:t>
            </w:r>
          </w:p>
        </w:tc>
      </w:tr>
      <w:tr w14:paraId="3A0F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pct"/>
            <w:noWrap w:val="0"/>
            <w:vAlign w:val="center"/>
          </w:tcPr>
          <w:p w14:paraId="24EFBD00">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建设用地</w:t>
            </w:r>
          </w:p>
          <w:p w14:paraId="3DA3B06A">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使用权</w:t>
            </w:r>
          </w:p>
        </w:tc>
        <w:tc>
          <w:tcPr>
            <w:tcW w:w="2610" w:type="pct"/>
            <w:noWrap/>
            <w:vAlign w:val="center"/>
          </w:tcPr>
          <w:p w14:paraId="3999FE18">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市场比较法、收益还原法、剩余法、成本逼近法、公示地价系数修正法</w:t>
            </w:r>
          </w:p>
        </w:tc>
        <w:tc>
          <w:tcPr>
            <w:tcW w:w="1319" w:type="pct"/>
            <w:noWrap w:val="0"/>
            <w:vAlign w:val="center"/>
          </w:tcPr>
          <w:p w14:paraId="6D52ED59">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GB/T 18508-2014</w:t>
            </w:r>
          </w:p>
          <w:p w14:paraId="19E3EDF4">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TD/T 1061-2021</w:t>
            </w:r>
          </w:p>
        </w:tc>
      </w:tr>
      <w:tr w14:paraId="5D2F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pct"/>
            <w:noWrap w:val="0"/>
            <w:vAlign w:val="center"/>
          </w:tcPr>
          <w:p w14:paraId="7B160618">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农用地（耕、园、林、草地）使用权</w:t>
            </w:r>
          </w:p>
        </w:tc>
        <w:tc>
          <w:tcPr>
            <w:tcW w:w="2610" w:type="pct"/>
            <w:noWrap/>
            <w:vAlign w:val="center"/>
          </w:tcPr>
          <w:p w14:paraId="6A782DCC">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市场比较法、收益还原法、剩余法、成本逼近法、基准地价修正法、评分估价法</w:t>
            </w:r>
          </w:p>
        </w:tc>
        <w:tc>
          <w:tcPr>
            <w:tcW w:w="1319" w:type="pct"/>
            <w:noWrap w:val="0"/>
            <w:vAlign w:val="center"/>
          </w:tcPr>
          <w:p w14:paraId="10328DB7">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GB/T 28406-2012</w:t>
            </w:r>
          </w:p>
          <w:p w14:paraId="34283193">
            <w:pPr>
              <w:pStyle w:val="36"/>
              <w:kinsoku/>
              <w:autoSpaceDE/>
              <w:autoSpaceDN/>
              <w:snapToGrid/>
              <w:spacing w:line="520" w:lineRule="exact"/>
              <w:ind w:firstLine="0" w:firstLineChars="0"/>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z w:val="28"/>
                <w:szCs w:val="28"/>
              </w:rPr>
              <w:t>TD/T 1061-2021</w:t>
            </w:r>
          </w:p>
          <w:p w14:paraId="4630AF30">
            <w:pPr>
              <w:spacing w:line="520" w:lineRule="exact"/>
              <w:jc w:val="center"/>
              <w:rPr>
                <w:rFonts w:hint="eastAsia" w:ascii="FangSong_GB2312" w:hAnsi="FangSong_GB2312" w:cs="FangSong_GB2312"/>
                <w:sz w:val="28"/>
                <w:szCs w:val="28"/>
              </w:rPr>
            </w:pPr>
          </w:p>
        </w:tc>
      </w:tr>
      <w:tr w14:paraId="6A28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70" w:type="pct"/>
            <w:noWrap w:val="0"/>
            <w:vAlign w:val="center"/>
          </w:tcPr>
          <w:p w14:paraId="566394A7">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林木所有权与使用权</w:t>
            </w:r>
          </w:p>
        </w:tc>
        <w:tc>
          <w:tcPr>
            <w:tcW w:w="2610" w:type="pct"/>
            <w:noWrap/>
            <w:vAlign w:val="center"/>
          </w:tcPr>
          <w:p w14:paraId="7DBE7164">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市场价倒算法(剩余价值法)、收获现值法、择伐收益法、重置成本法、现行市价法</w:t>
            </w:r>
          </w:p>
        </w:tc>
        <w:tc>
          <w:tcPr>
            <w:tcW w:w="1319" w:type="pct"/>
            <w:noWrap w:val="0"/>
            <w:vAlign w:val="center"/>
          </w:tcPr>
          <w:p w14:paraId="52AC381F">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LY/T 2407-2015</w:t>
            </w:r>
          </w:p>
        </w:tc>
      </w:tr>
      <w:tr w14:paraId="0B18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70" w:type="pct"/>
            <w:noWrap w:val="0"/>
            <w:vAlign w:val="center"/>
          </w:tcPr>
          <w:p w14:paraId="0EF0C867">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矿业权</w:t>
            </w:r>
          </w:p>
        </w:tc>
        <w:tc>
          <w:tcPr>
            <w:tcW w:w="2610" w:type="pct"/>
            <w:noWrap w:val="0"/>
            <w:vAlign w:val="center"/>
          </w:tcPr>
          <w:p w14:paraId="3A7F877E">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折现现金流量法、收入权益法、勘查成本效用法、地质要素评序法；可比销售法（交易案例比较法）、单位面积探矿权价值评判法（单位面积倍数法）、资源品级探矿权价值估算法（资源价值比例法）</w:t>
            </w:r>
          </w:p>
        </w:tc>
        <w:tc>
          <w:tcPr>
            <w:tcW w:w="1319" w:type="pct"/>
            <w:noWrap w:val="0"/>
            <w:vAlign w:val="center"/>
          </w:tcPr>
          <w:p w14:paraId="13A038A4">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《中国矿业权评估准则》</w:t>
            </w:r>
          </w:p>
          <w:p w14:paraId="3E8172B0">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《矿业权出让收益评估应用指南（2023）》</w:t>
            </w:r>
          </w:p>
        </w:tc>
      </w:tr>
      <w:tr w14:paraId="06DA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70" w:type="pct"/>
            <w:noWrap w:val="0"/>
            <w:vAlign w:val="center"/>
          </w:tcPr>
          <w:p w14:paraId="3FC9A79B">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基于水域资源的各类经营权</w:t>
            </w:r>
          </w:p>
        </w:tc>
        <w:tc>
          <w:tcPr>
            <w:tcW w:w="2610" w:type="pct"/>
            <w:noWrap w:val="0"/>
            <w:vAlign w:val="center"/>
          </w:tcPr>
          <w:p w14:paraId="0B9A52D0">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收益还原法、剩余法</w:t>
            </w:r>
          </w:p>
        </w:tc>
        <w:tc>
          <w:tcPr>
            <w:tcW w:w="1319" w:type="pct"/>
            <w:noWrap w:val="0"/>
            <w:vAlign w:val="center"/>
          </w:tcPr>
          <w:p w14:paraId="15DF9643">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GB/T 18508-2014</w:t>
            </w:r>
          </w:p>
          <w:p w14:paraId="06953D5C">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GB/T 28406-2012</w:t>
            </w:r>
          </w:p>
        </w:tc>
      </w:tr>
    </w:tbl>
    <w:p w14:paraId="7A8678B3">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13" w:name="_Toc170647241"/>
      <w:bookmarkStart w:id="314" w:name="_Toc171693104"/>
      <w:bookmarkStart w:id="315" w:name="_Toc171186540"/>
      <w:bookmarkStart w:id="316" w:name="_Toc171687509"/>
      <w:bookmarkStart w:id="317" w:name="_Toc168762530"/>
      <w:r>
        <w:rPr>
          <w:rFonts w:hint="eastAsia" w:ascii="楷体_GB2312" w:hAnsi="楷体_GB2312" w:eastAsia="楷体_GB2312" w:cs="楷体_GB2312"/>
          <w:sz w:val="32"/>
          <w:szCs w:val="32"/>
        </w:rPr>
        <w:t>8.2不同评估模式下的方法选择</w:t>
      </w:r>
    </w:p>
    <w:p w14:paraId="55D8B7DE">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8.2.1合估模式的方法选择</w:t>
      </w:r>
    </w:p>
    <w:p w14:paraId="19AEA1D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a)优先选择预期收益贴现还原路径、整体价值剥离显化路径类的具体评估方法；</w:t>
      </w:r>
    </w:p>
    <w:p w14:paraId="60178FC2">
      <w:pPr>
        <w:pStyle w:val="36"/>
        <w:widowControl w:val="0"/>
        <w:kinsoku/>
        <w:autoSpaceDE/>
        <w:autoSpaceDN/>
        <w:snapToGrid/>
        <w:spacing w:line="560" w:lineRule="exact"/>
        <w:ind w:firstLine="640" w:firstLineChars="0"/>
        <w:rPr>
          <w:rFonts w:ascii="FangSong_GB2312" w:hAnsi="FangSong_GB2312" w:eastAsia="FangSong_GB2312" w:cs="FangSong_GB2312"/>
          <w:color w:val="auto"/>
          <w:sz w:val="32"/>
          <w:szCs w:val="32"/>
        </w:rPr>
      </w:pPr>
      <w:r>
        <w:rPr>
          <w:rFonts w:ascii="FangSong_GB2312" w:hAnsi="FangSong_GB2312" w:eastAsia="FangSong_GB2312" w:cs="FangSong_GB2312"/>
          <w:sz w:val="32"/>
          <w:szCs w:val="32"/>
        </w:rPr>
        <w:t>b)当具备相同类型、相同（或相近）组合结构的资产包可比交易实例不少于3个时，可选用市场比较路径类的评估方法；</w:t>
      </w:r>
    </w:p>
    <w:p w14:paraId="3DD786DA">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8.2.2分估模式的方法选择</w:t>
      </w:r>
      <w:bookmarkEnd w:id="313"/>
      <w:bookmarkEnd w:id="314"/>
      <w:bookmarkEnd w:id="315"/>
      <w:bookmarkEnd w:id="316"/>
      <w:bookmarkEnd w:id="317"/>
    </w:p>
    <w:p w14:paraId="2E315662">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对组成自然资源资产包的各单项自然资源资产价格评估可分别选择适宜的评估方法，常用方法见表1。</w:t>
      </w:r>
    </w:p>
    <w:p w14:paraId="178E90E7">
      <w:pPr>
        <w:pStyle w:val="42"/>
        <w:widowControl w:val="0"/>
        <w:spacing w:before="0" w:beforeLines="0" w:after="0" w:afterLines="0" w:line="560" w:lineRule="exact"/>
        <w:ind w:firstLine="640" w:firstLineChars="200"/>
        <w:rPr>
          <w:rFonts w:hint="eastAsia" w:hAnsi="黑体" w:cs="黑体"/>
          <w:sz w:val="32"/>
          <w:szCs w:val="32"/>
        </w:rPr>
      </w:pPr>
      <w:bookmarkStart w:id="318" w:name="_Toc171693105"/>
      <w:r>
        <w:rPr>
          <w:rFonts w:hint="eastAsia" w:hAnsi="黑体" w:cs="黑体"/>
          <w:sz w:val="32"/>
          <w:szCs w:val="32"/>
        </w:rPr>
        <w:t>9价格影响因素</w:t>
      </w:r>
      <w:bookmarkEnd w:id="318"/>
    </w:p>
    <w:p w14:paraId="6FAB4798">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19" w:name="_Toc171693106"/>
      <w:r>
        <w:rPr>
          <w:rFonts w:hint="eastAsia" w:ascii="楷体_GB2312" w:hAnsi="楷体_GB2312" w:eastAsia="楷体_GB2312" w:cs="楷体_GB2312"/>
          <w:sz w:val="32"/>
          <w:szCs w:val="32"/>
        </w:rPr>
        <w:t>9.1一般规定</w:t>
      </w:r>
      <w:bookmarkEnd w:id="319"/>
    </w:p>
    <w:p w14:paraId="09D1FB6C">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除TD/T 1061规定的各类自然资源资产评估时需关注的价格影响因素外，整体评估还应特别关注资产包中不同构成要素间产生的关联影响因素、规模效应影响因素，分析其对待估对象的具体开发经营方式，以及收益、成本等技术经济指标形成的正向或负向影响。</w:t>
      </w:r>
    </w:p>
    <w:p w14:paraId="0312AC33">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20" w:name="_Toc171693107"/>
      <w:r>
        <w:rPr>
          <w:rFonts w:hint="eastAsia" w:ascii="楷体_GB2312" w:hAnsi="楷体_GB2312" w:eastAsia="楷体_GB2312" w:cs="楷体_GB2312"/>
          <w:sz w:val="32"/>
          <w:szCs w:val="32"/>
        </w:rPr>
        <w:t>9.2关联影响因素</w:t>
      </w:r>
      <w:bookmarkEnd w:id="320"/>
    </w:p>
    <w:p w14:paraId="48FDFADF">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基于作用机制的不同，可从以下方面对关联影响因素进行识别和分析。</w:t>
      </w:r>
    </w:p>
    <w:p w14:paraId="5D6A71F0">
      <w:pPr>
        <w:pStyle w:val="36"/>
        <w:widowControl w:val="0"/>
        <w:kinsoku/>
        <w:autoSpaceDE/>
        <w:autoSpaceDN/>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a)对收益产生影响的因素：指能够使资产包的总体效益或其中某类资源资产的收益产生变化的因素。</w:t>
      </w:r>
    </w:p>
    <w:p w14:paraId="4811B1E5">
      <w:pPr>
        <w:pStyle w:val="36"/>
        <w:widowControl w:val="0"/>
        <w:kinsoku/>
        <w:autoSpaceDE/>
        <w:autoSpaceDN/>
        <w:snapToGrid/>
        <w:spacing w:line="560" w:lineRule="exact"/>
        <w:ind w:firstLine="640"/>
        <w:rPr>
          <w:rFonts w:ascii="FangSong_GB2312" w:hAnsi="FangSong_GB2312" w:eastAsia="FangSong_GB2312" w:cs="FangSong_GB2312"/>
          <w:snapToGrid/>
          <w:color w:val="auto"/>
          <w:sz w:val="32"/>
          <w:szCs w:val="32"/>
        </w:rPr>
      </w:pPr>
      <w:r>
        <w:rPr>
          <w:rFonts w:ascii="FangSong_GB2312" w:hAnsi="FangSong_GB2312" w:eastAsia="FangSong_GB2312" w:cs="FangSong_GB2312"/>
          <w:bCs/>
          <w:snapToGrid/>
          <w:color w:val="auto"/>
          <w:sz w:val="32"/>
          <w:szCs w:val="32"/>
        </w:rPr>
        <w:t>示例</w:t>
      </w:r>
      <w:r>
        <w:rPr>
          <w:rFonts w:ascii="FangSong_GB2312" w:hAnsi="FangSong_GB2312" w:eastAsia="FangSong_GB2312" w:cs="FangSong_GB2312"/>
          <w:snapToGrid/>
          <w:color w:val="auto"/>
          <w:sz w:val="32"/>
          <w:szCs w:val="32"/>
        </w:rPr>
        <w:t>：森林景观资源形成的自然环境因素，对同一资产包内房地产开发用地价格产生正向影响；人文、历史、文化等因素对自然资源的旅游观光价值产生正向影响。</w:t>
      </w:r>
    </w:p>
    <w:p w14:paraId="694C0D85">
      <w:pPr>
        <w:pStyle w:val="36"/>
        <w:widowControl w:val="0"/>
        <w:kinsoku/>
        <w:autoSpaceDE/>
        <w:autoSpaceDN/>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b)对成本产生影响的因素：指使资产包总体运营成本或其中某类资源资产进行开发利用时，需投入的必要成本发生变化的因素。</w:t>
      </w:r>
    </w:p>
    <w:p w14:paraId="73A160C3">
      <w:pPr>
        <w:pStyle w:val="36"/>
        <w:widowControl w:val="0"/>
        <w:kinsoku/>
        <w:autoSpaceDE/>
        <w:autoSpaceDN/>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示例：为获得环境因素对房地产开发用地产生的正向影响，需对同一资产包内的森林资源资产投入额外成本以维护或提升环境质量；</w:t>
      </w:r>
    </w:p>
    <w:p w14:paraId="6DDEF58D">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c)对程序效率产生影响的因素：指因同时获取具有较强关联性的自然资源及其产权而使资产包整体开发运营的程序效率发生变化的因素。</w:t>
      </w:r>
    </w:p>
    <w:p w14:paraId="77696435">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bCs/>
          <w:snapToGrid/>
          <w:color w:val="auto"/>
          <w:sz w:val="32"/>
          <w:szCs w:val="32"/>
        </w:rPr>
        <w:t>示例：</w:t>
      </w:r>
      <w:r>
        <w:rPr>
          <w:rFonts w:ascii="FangSong_GB2312" w:hAnsi="FangSong_GB2312" w:eastAsia="FangSong_GB2312" w:cs="FangSong_GB2312"/>
          <w:snapToGrid/>
          <w:color w:val="auto"/>
          <w:sz w:val="32"/>
          <w:szCs w:val="32"/>
        </w:rPr>
        <w:t>获得矿泉水采矿权时，同时获得可用于矿泉水产品生产加工的邻近工业用地，使得资产包整体开发经营的程序效率提高。</w:t>
      </w:r>
    </w:p>
    <w:p w14:paraId="03379EAB">
      <w:pPr>
        <w:pStyle w:val="42"/>
        <w:widowControl w:val="0"/>
        <w:spacing w:before="0" w:beforeLines="0" w:after="0" w:afterLines="0" w:line="560" w:lineRule="exact"/>
        <w:ind w:firstLine="640" w:firstLineChars="200"/>
        <w:rPr>
          <w:rFonts w:hint="eastAsia" w:hAnsi="黑体" w:cs="黑体"/>
          <w:sz w:val="32"/>
          <w:szCs w:val="32"/>
        </w:rPr>
      </w:pPr>
      <w:bookmarkStart w:id="321" w:name="_Toc171693108"/>
      <w:r>
        <w:rPr>
          <w:rFonts w:hint="eastAsia" w:hAnsi="黑体" w:cs="黑体"/>
          <w:sz w:val="32"/>
          <w:szCs w:val="32"/>
        </w:rPr>
        <w:t>10评估方法的应用要点</w:t>
      </w:r>
      <w:bookmarkEnd w:id="321"/>
    </w:p>
    <w:p w14:paraId="20ECDCB9">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22" w:name="_Toc171693109"/>
      <w:r>
        <w:rPr>
          <w:rFonts w:hint="eastAsia" w:ascii="楷体_GB2312" w:hAnsi="楷体_GB2312" w:eastAsia="楷体_GB2312" w:cs="楷体_GB2312"/>
          <w:sz w:val="32"/>
          <w:szCs w:val="32"/>
        </w:rPr>
        <w:t>10.1一般规定</w:t>
      </w:r>
      <w:bookmarkEnd w:id="322"/>
    </w:p>
    <w:p w14:paraId="7E11C8E0">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整体评估应遵以下一般规定。</w:t>
      </w:r>
    </w:p>
    <w:p w14:paraId="75CBB670">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a)以资产包整体开发利用与运营作为评估各环节的重要基础，各参数取值均应以资产包各构成要素整体发挥效用为前提。</w:t>
      </w:r>
    </w:p>
    <w:p w14:paraId="5728885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b)应将协同效应、权衡效应、规模效应等各类组合效应作用于待估对象价格水平的影响通过对经营收益、销售单价、成本、利润率、增值收益率、还原率（贴现率）及风险值等相关参数的调整予以合理量化。</w:t>
      </w:r>
    </w:p>
    <w:p w14:paraId="09A64C35">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23" w:name="_Toc132184982"/>
      <w:bookmarkStart w:id="324" w:name="_Toc134085025"/>
      <w:bookmarkStart w:id="325" w:name="_Toc132185309"/>
      <w:bookmarkStart w:id="326" w:name="_Toc132285878"/>
      <w:bookmarkStart w:id="327" w:name="_Toc132269038"/>
      <w:bookmarkStart w:id="328" w:name="_Toc171693110"/>
      <w:bookmarkStart w:id="329" w:name="_Toc132185113"/>
      <w:bookmarkStart w:id="330" w:name="_Toc132183565"/>
      <w:bookmarkStart w:id="331" w:name="_Toc132185178"/>
      <w:bookmarkStart w:id="332" w:name="_Toc134621212"/>
      <w:bookmarkStart w:id="333" w:name="_Toc132185047"/>
      <w:bookmarkStart w:id="334" w:name="_Toc132290151"/>
      <w:r>
        <w:rPr>
          <w:rFonts w:hint="eastAsia" w:ascii="楷体_GB2312" w:hAnsi="楷体_GB2312" w:eastAsia="楷体_GB2312" w:cs="楷体_GB2312"/>
          <w:sz w:val="32"/>
          <w:szCs w:val="32"/>
        </w:rPr>
        <w:t>10.2交易实例比较修正路径类方法</w:t>
      </w:r>
      <w:bookmarkEnd w:id="323"/>
      <w:bookmarkEnd w:id="324"/>
      <w:bookmarkEnd w:id="325"/>
      <w:bookmarkEnd w:id="326"/>
      <w:bookmarkEnd w:id="327"/>
      <w:bookmarkEnd w:id="328"/>
      <w:bookmarkEnd w:id="329"/>
      <w:bookmarkEnd w:id="330"/>
      <w:bookmarkEnd w:id="331"/>
      <w:bookmarkEnd w:id="332"/>
      <w:bookmarkEnd w:id="333"/>
      <w:bookmarkEnd w:id="334"/>
    </w:p>
    <w:p w14:paraId="242172C0">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运用本类方法进行整体评估时，应重点关注的技术要点包括但不限于以下内容。</w:t>
      </w:r>
    </w:p>
    <w:p w14:paraId="70255271">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a)选择可比实例时，除常规的可比实例数量、可比性等要求外还应特别关注以下要求：</w:t>
      </w:r>
    </w:p>
    <w:p w14:paraId="76BA7341">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Ⅰ.不宜将价格出现异常波动的成交案例选作可比实例；</w:t>
      </w:r>
    </w:p>
    <w:p w14:paraId="3F54BC9D">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Ⅱ.采用合估模式时，可比实例与待估对象在资产包组合类型、组合结构比例等方面应具有可比性；若距估价期日3年以内的可比实例（资产包）少于3个，可适当放宽时间选择年限或扩大实例搜寻范围；</w:t>
      </w:r>
    </w:p>
    <w:p w14:paraId="060EC942">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Ⅲ.采用分估模式时，当可获取资产包内单项资源资产成交价格时，优先选择与待估对象具有相同或类似组合类型、结构特征的资产包中的同类资源资产交易案例</w:t>
      </w:r>
      <w:r>
        <w:rPr>
          <w:rFonts w:ascii="FangSong_GB2312" w:hAnsi="FangSong_GB2312" w:eastAsia="FangSong_GB2312" w:cs="FangSong_GB2312"/>
          <w:sz w:val="32"/>
          <w:szCs w:val="32"/>
        </w:rPr>
        <w:t>作为</w:t>
      </w:r>
      <w:r>
        <w:rPr>
          <w:rFonts w:hint="eastAsia" w:ascii="FangSong_GB2312" w:hAnsi="FangSong_GB2312" w:eastAsia="FangSong_GB2312" w:cs="FangSong_GB2312"/>
          <w:sz w:val="32"/>
          <w:szCs w:val="32"/>
        </w:rPr>
        <w:t>可比实例；也可选择同区域内与待估对象利用方式相同、具有类似微观区位特征的非资产包交易案例</w:t>
      </w:r>
      <w:r>
        <w:rPr>
          <w:rFonts w:ascii="FangSong_GB2312" w:hAnsi="FangSong_GB2312" w:eastAsia="FangSong_GB2312" w:cs="FangSong_GB2312"/>
          <w:sz w:val="32"/>
          <w:szCs w:val="32"/>
        </w:rPr>
        <w:t>作为</w:t>
      </w:r>
      <w:r>
        <w:rPr>
          <w:rFonts w:hint="eastAsia" w:ascii="FangSong_GB2312" w:hAnsi="FangSong_GB2312" w:eastAsia="FangSong_GB2312" w:cs="FangSong_GB2312"/>
          <w:sz w:val="32"/>
          <w:szCs w:val="32"/>
        </w:rPr>
        <w:t>可比实例；</w:t>
      </w:r>
    </w:p>
    <w:p w14:paraId="226F859E">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b)进行比较因素选择与修正时，除常规要求外，还应特别关注关联影响因素和资产包组合状况方面的差异，可在分析的基础上增加必要的修正因素。</w:t>
      </w:r>
      <w:bookmarkStart w:id="335" w:name="_Toc134085026"/>
      <w:bookmarkStart w:id="336" w:name="_Toc132269039"/>
      <w:bookmarkStart w:id="337" w:name="_Toc132285879"/>
      <w:bookmarkStart w:id="338" w:name="_Toc132290152"/>
      <w:bookmarkStart w:id="339" w:name="_Toc134621213"/>
    </w:p>
    <w:bookmarkEnd w:id="335"/>
    <w:bookmarkEnd w:id="336"/>
    <w:bookmarkEnd w:id="337"/>
    <w:bookmarkEnd w:id="338"/>
    <w:bookmarkEnd w:id="339"/>
    <w:p w14:paraId="560DD857">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0" w:name="_Toc171693111"/>
      <w:r>
        <w:rPr>
          <w:rFonts w:hint="eastAsia" w:ascii="楷体_GB2312" w:hAnsi="楷体_GB2312" w:eastAsia="楷体_GB2312" w:cs="楷体_GB2312"/>
          <w:sz w:val="32"/>
          <w:szCs w:val="32"/>
        </w:rPr>
        <w:t>10.3预期收益贴现还原路径类方法</w:t>
      </w:r>
      <w:bookmarkEnd w:id="340"/>
    </w:p>
    <w:p w14:paraId="18E2E683">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运用本类方法进行整体评估时，应重点关注的技术要点包括但不限于以下内容。</w:t>
      </w:r>
    </w:p>
    <w:p w14:paraId="7C2A0D57">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a)确定总收益时，应重点分析收益的来源、构成及其持续性等因素。</w:t>
      </w:r>
    </w:p>
    <w:p w14:paraId="7AE0E403">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当自然资源资产包中含有生态补偿或生态权益类收益，以及可交易的生态指标配额等各类可产生经济收益的生态产品时，应纳入总收益测算范畴，同时需关注为维护或提升生态产品质量而需额外投入的人、财、物等各类费用。</w:t>
      </w:r>
    </w:p>
    <w:p w14:paraId="22343819">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应在收益或费用测算环节充分体现关联影响因素及资产组合的协同效应、权衡效应、规模效应的影响；当其对收益的风险性产生影响时，还可在贴现率（还原率）中合理体现；通过市场比较路径确定关键参数时，宜选择区位特征和组合特征类似的资产包运营案例。</w:t>
      </w:r>
    </w:p>
    <w:p w14:paraId="44981F8B">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d)当构成资产包的不同自然资源资产权利的持续期限不同时，应关注前述收益、成本、关联因素影响等在不同时段可能发生的变化，可进行分段评估。</w:t>
      </w:r>
    </w:p>
    <w:p w14:paraId="0A4AD74A">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41" w:name="_Toc171693112"/>
      <w:r>
        <w:rPr>
          <w:rFonts w:hint="eastAsia" w:ascii="楷体_GB2312" w:hAnsi="楷体_GB2312" w:eastAsia="楷体_GB2312" w:cs="楷体_GB2312"/>
          <w:sz w:val="32"/>
          <w:szCs w:val="32"/>
        </w:rPr>
        <w:t>10.4整体价值剥离显化路径类方法</w:t>
      </w:r>
      <w:bookmarkEnd w:id="341"/>
    </w:p>
    <w:p w14:paraId="6F26DBE2">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运用本类方法进行整体评估时，应重点关注的技术要点包括但不限于以下内容。</w:t>
      </w:r>
    </w:p>
    <w:p w14:paraId="092C9F2B">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确定资产包的最佳开发利用方案时，若委托方提供方案或带方案出让时，应将其作为最佳开发利用方案；否则，宜参照市场上处于正常开发运营状况下的类似资产包情况，结合自身特征，经分析后合理设定最佳开发利用方案。</w:t>
      </w:r>
    </w:p>
    <w:p w14:paraId="4EE0C495">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b)根据市场交易实例确定自然资源资产包整体或其中某单项资源资产开发完成后的售价、开发成本等参数时，应关注资产包整体开发中可能存在的协同效应、权衡效应、规模效应对其形成的影响。</w:t>
      </w:r>
    </w:p>
    <w:p w14:paraId="088EE2C4">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c)测算应扣除的开发利润时，利润率可依所在地区行业平均利润率取值，不考虑资产包中因协同效应、规模效应产生的超额利润。</w:t>
      </w:r>
    </w:p>
    <w:p w14:paraId="2A7A5B7D">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d)当需要根据持续可获得的收益测算售价时，技术要点见10.3。</w:t>
      </w:r>
    </w:p>
    <w:p w14:paraId="5525BF12">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2" w:name="_Toc171693113"/>
      <w:r>
        <w:rPr>
          <w:rFonts w:hint="eastAsia" w:ascii="楷体_GB2312" w:hAnsi="楷体_GB2312" w:eastAsia="楷体_GB2312" w:cs="楷体_GB2312"/>
          <w:sz w:val="32"/>
          <w:szCs w:val="32"/>
        </w:rPr>
        <w:t>10.5重置成本模拟分析路径类方法</w:t>
      </w:r>
      <w:bookmarkEnd w:id="342"/>
    </w:p>
    <w:p w14:paraId="5F349437">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运用本类方法进行整体评估时，应重点关注的技术要点包括但不限于以下内容。</w:t>
      </w:r>
    </w:p>
    <w:p w14:paraId="18D2536C">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a)取得成本、开发成本中应包含资产包内各构成要素的前期收储及开发整理、资产管护与质量提升、生态保护补偿等客观费用。</w:t>
      </w:r>
    </w:p>
    <w:p w14:paraId="4E5E02AD">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b)测算利润率时，应关注资产包整体开发利用可能存在的规模效应对利润的影响。</w:t>
      </w:r>
    </w:p>
    <w:p w14:paraId="30FDCA83">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c)测算增值收益时，应分析来源于资产组合的协同效应、权衡效应等对待估对象增值收益的客观影响。</w:t>
      </w:r>
    </w:p>
    <w:p w14:paraId="03FF7F95">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3" w:name="_Toc171693114"/>
      <w:r>
        <w:rPr>
          <w:rFonts w:hint="eastAsia" w:ascii="楷体_GB2312" w:hAnsi="楷体_GB2312" w:eastAsia="楷体_GB2312" w:cs="楷体_GB2312"/>
          <w:sz w:val="32"/>
          <w:szCs w:val="32"/>
        </w:rPr>
        <w:t>10.6价格或费用标准修正调整路径类方法</w:t>
      </w:r>
      <w:bookmarkEnd w:id="343"/>
    </w:p>
    <w:p w14:paraId="19DFF984">
      <w:pPr>
        <w:pStyle w:val="36"/>
        <w:widowControl w:val="0"/>
        <w:kinsoku/>
        <w:autoSpaceDE/>
        <w:autoSpaceDN/>
        <w:snapToGrid/>
        <w:spacing w:line="560" w:lineRule="exact"/>
        <w:ind w:firstLine="640"/>
        <w:rPr>
          <w:rFonts w:ascii="黑体" w:hAnsi="黑体" w:eastAsia="黑体" w:cs="黑体"/>
          <w:sz w:val="32"/>
          <w:szCs w:val="32"/>
        </w:rPr>
      </w:pPr>
      <w:r>
        <w:rPr>
          <w:rFonts w:ascii="FangSong_GB2312" w:hAnsi="FangSong_GB2312" w:eastAsia="FangSong_GB2312" w:cs="FangSong_GB2312"/>
          <w:sz w:val="32"/>
          <w:szCs w:val="32"/>
        </w:rPr>
        <w:t>该方法通常仅适用于分估模式中的单一门类自然资源资产评估；若既有自然资源公示价及其修正体系中缺少能够体现自然资源资产包中关联影响因素对价格影响的修正系数，可在评估结果确定环节，对该方法的测算结果进行必要的调整、修正，并阐述理由。</w:t>
      </w:r>
      <w:bookmarkStart w:id="344" w:name="_Toc171693115"/>
    </w:p>
    <w:p w14:paraId="4F230A98">
      <w:pPr>
        <w:pStyle w:val="42"/>
        <w:widowControl w:val="0"/>
        <w:spacing w:before="0" w:beforeLines="0" w:after="0" w:afterLines="0" w:line="560" w:lineRule="exact"/>
        <w:ind w:firstLine="640" w:firstLineChars="200"/>
        <w:rPr>
          <w:rFonts w:hint="eastAsia" w:hAnsi="黑体" w:cs="黑体"/>
          <w:sz w:val="32"/>
          <w:szCs w:val="32"/>
        </w:rPr>
      </w:pPr>
      <w:r>
        <w:rPr>
          <w:rFonts w:hint="eastAsia" w:hAnsi="黑体" w:cs="黑体"/>
          <w:sz w:val="32"/>
          <w:szCs w:val="32"/>
        </w:rPr>
        <w:t>11典型组合类型的资产包评估要点</w:t>
      </w:r>
      <w:bookmarkEnd w:id="344"/>
    </w:p>
    <w:p w14:paraId="18D4FA8F">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5" w:name="_Toc171693116"/>
      <w:r>
        <w:rPr>
          <w:rFonts w:hint="eastAsia" w:ascii="楷体_GB2312" w:hAnsi="楷体_GB2312" w:eastAsia="楷体_GB2312" w:cs="楷体_GB2312"/>
          <w:sz w:val="32"/>
          <w:szCs w:val="32"/>
        </w:rPr>
        <w:t>11.1资产包组合的主要类型</w:t>
      </w:r>
      <w:bookmarkEnd w:id="345"/>
    </w:p>
    <w:p w14:paraId="65724D38">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江西省内自然资源资产包组合的主要类型及涉及的自然资源权利包括但不限于表2所列示。</w:t>
      </w:r>
    </w:p>
    <w:p w14:paraId="5EDA164C">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6" w:name="_Toc171693117"/>
      <w:r>
        <w:rPr>
          <w:rFonts w:hint="eastAsia" w:ascii="楷体_GB2312" w:hAnsi="楷体_GB2312" w:eastAsia="楷体_GB2312" w:cs="楷体_GB2312"/>
          <w:sz w:val="32"/>
          <w:szCs w:val="32"/>
        </w:rPr>
        <w:t>11.2矿产资源+建设用地资源资产包评估要点</w:t>
      </w:r>
      <w:bookmarkEnd w:id="346"/>
    </w:p>
    <w:p w14:paraId="6520DB2F">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本部分关于矿业权评估的规定仅适用于《矿产目录》外矿种。</w:t>
      </w:r>
    </w:p>
    <w:p w14:paraId="12B4AB5A">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47" w:name="_Toc171186554"/>
      <w:bookmarkStart w:id="348" w:name="_Toc170647255"/>
      <w:bookmarkStart w:id="349" w:name="_Toc171693118"/>
      <w:bookmarkStart w:id="350" w:name="_Toc168762544"/>
      <w:bookmarkStart w:id="351" w:name="_Toc171687523"/>
      <w:r>
        <w:rPr>
          <w:rFonts w:hint="eastAsia" w:ascii="FangSong_GB2312" w:hAnsi="FangSong_GB2312" w:eastAsia="FangSong_GB2312" w:cs="FangSong_GB2312"/>
          <w:sz w:val="32"/>
          <w:szCs w:val="32"/>
        </w:rPr>
        <w:t>11.2.1主要影响因素及其作用规律</w:t>
      </w:r>
      <w:bookmarkEnd w:id="347"/>
      <w:bookmarkEnd w:id="348"/>
      <w:bookmarkEnd w:id="349"/>
      <w:bookmarkEnd w:id="350"/>
      <w:bookmarkEnd w:id="351"/>
    </w:p>
    <w:p w14:paraId="7D64A3DF">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除各类资源资产评估中的常规价格影响因素及其作用规律外，整体评估中还需特别关注以下关联因素及其对资产包中相应资源资产价格的影响。</w:t>
      </w:r>
    </w:p>
    <w:p w14:paraId="545B9020">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a)矿业权影响因素：组合供应产生的程序效率对矿业权实施的程序利好影响度。</w:t>
      </w:r>
    </w:p>
    <w:p w14:paraId="74A1A7C5">
      <w:pPr>
        <w:pStyle w:val="36"/>
        <w:spacing w:line="560" w:lineRule="exact"/>
        <w:ind w:firstLine="0" w:firstLineChars="0"/>
        <w:jc w:val="center"/>
        <w:rPr>
          <w:rFonts w:ascii="FangSong_GB2312" w:hAnsi="FangSong_GB2312" w:eastAsia="FangSong_GB2312" w:cs="FangSong_GB2312"/>
          <w:sz w:val="32"/>
          <w:szCs w:val="32"/>
        </w:rPr>
      </w:pPr>
      <w:r>
        <w:rPr>
          <w:rFonts w:ascii="FangSong_GB2312" w:hAnsi="FangSong_GB2312" w:eastAsia="FangSong_GB2312" w:cs="FangSong_GB2312"/>
          <w:b/>
          <w:bCs/>
          <w:sz w:val="32"/>
          <w:szCs w:val="32"/>
        </w:rPr>
        <w:t>表2 江西省自然资源资产包主要类型及涉及的自然资源权利</w:t>
      </w:r>
    </w:p>
    <w:tbl>
      <w:tblPr>
        <w:tblStyle w:val="16"/>
        <w:tblW w:w="9654" w:type="dxa"/>
        <w:jc w:val="center"/>
        <w:tblLayout w:type="autofit"/>
        <w:tblCellMar>
          <w:top w:w="0" w:type="dxa"/>
          <w:left w:w="108" w:type="dxa"/>
          <w:bottom w:w="0" w:type="dxa"/>
          <w:right w:w="108" w:type="dxa"/>
        </w:tblCellMar>
      </w:tblPr>
      <w:tblGrid>
        <w:gridCol w:w="1567"/>
        <w:gridCol w:w="1718"/>
        <w:gridCol w:w="6369"/>
      </w:tblGrid>
      <w:tr w14:paraId="776B6CD9">
        <w:tblPrEx>
          <w:tblCellMar>
            <w:top w:w="0" w:type="dxa"/>
            <w:left w:w="108" w:type="dxa"/>
            <w:bottom w:w="0" w:type="dxa"/>
            <w:right w:w="108" w:type="dxa"/>
          </w:tblCellMar>
        </w:tblPrEx>
        <w:trPr>
          <w:cantSplit/>
          <w:trHeight w:val="540" w:hRule="atLeast"/>
          <w:tblHeader/>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2EC8456">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资产包</w:t>
            </w:r>
          </w:p>
          <w:p w14:paraId="569E6CF6">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组合模式</w:t>
            </w:r>
          </w:p>
        </w:tc>
        <w:tc>
          <w:tcPr>
            <w:tcW w:w="1718" w:type="dxa"/>
            <w:tcBorders>
              <w:top w:val="single" w:color="auto" w:sz="4" w:space="0"/>
              <w:left w:val="nil"/>
              <w:bottom w:val="single" w:color="auto" w:sz="4" w:space="0"/>
              <w:right w:val="single" w:color="auto" w:sz="4" w:space="0"/>
            </w:tcBorders>
            <w:noWrap w:val="0"/>
            <w:vAlign w:val="center"/>
          </w:tcPr>
          <w:p w14:paraId="3C0AFCEE">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资产包</w:t>
            </w:r>
          </w:p>
          <w:p w14:paraId="00631B8B">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组合类型</w:t>
            </w:r>
          </w:p>
        </w:tc>
        <w:tc>
          <w:tcPr>
            <w:tcW w:w="6369" w:type="dxa"/>
            <w:tcBorders>
              <w:top w:val="single" w:color="auto" w:sz="4" w:space="0"/>
              <w:left w:val="nil"/>
              <w:bottom w:val="single" w:color="auto" w:sz="4" w:space="0"/>
              <w:right w:val="single" w:color="auto" w:sz="4" w:space="0"/>
            </w:tcBorders>
            <w:noWrap w:val="0"/>
            <w:vAlign w:val="center"/>
          </w:tcPr>
          <w:p w14:paraId="5E6E193E">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涉及的自然资源权利</w:t>
            </w:r>
          </w:p>
        </w:tc>
      </w:tr>
      <w:tr w14:paraId="0AB322E0">
        <w:tblPrEx>
          <w:tblCellMar>
            <w:top w:w="0" w:type="dxa"/>
            <w:left w:w="108" w:type="dxa"/>
            <w:bottom w:w="0" w:type="dxa"/>
            <w:right w:w="108" w:type="dxa"/>
          </w:tblCellMar>
        </w:tblPrEx>
        <w:trPr>
          <w:trHeight w:val="540" w:hRule="atLeast"/>
          <w:jc w:val="center"/>
        </w:trPr>
        <w:tc>
          <w:tcPr>
            <w:tcW w:w="1567" w:type="dxa"/>
            <w:vMerge w:val="restart"/>
            <w:tcBorders>
              <w:top w:val="nil"/>
              <w:left w:val="single" w:color="auto" w:sz="4" w:space="0"/>
              <w:bottom w:val="single" w:color="auto" w:sz="4" w:space="0"/>
              <w:right w:val="single" w:color="auto" w:sz="4" w:space="0"/>
            </w:tcBorders>
            <w:noWrap w:val="0"/>
            <w:vAlign w:val="center"/>
          </w:tcPr>
          <w:p w14:paraId="2371B04A">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不同资源、不同权利权能的组合</w:t>
            </w:r>
          </w:p>
        </w:tc>
        <w:tc>
          <w:tcPr>
            <w:tcW w:w="1718" w:type="dxa"/>
            <w:tcBorders>
              <w:top w:val="nil"/>
              <w:left w:val="nil"/>
              <w:bottom w:val="single" w:color="auto" w:sz="4" w:space="0"/>
              <w:right w:val="single" w:color="auto" w:sz="4" w:space="0"/>
            </w:tcBorders>
            <w:noWrap w:val="0"/>
            <w:vAlign w:val="center"/>
          </w:tcPr>
          <w:p w14:paraId="0800B067">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矿产资源+土地资源</w:t>
            </w:r>
          </w:p>
        </w:tc>
        <w:tc>
          <w:tcPr>
            <w:tcW w:w="6369" w:type="dxa"/>
            <w:tcBorders>
              <w:top w:val="nil"/>
              <w:left w:val="nil"/>
              <w:bottom w:val="single" w:color="auto" w:sz="4" w:space="0"/>
              <w:right w:val="single" w:color="auto" w:sz="4" w:space="0"/>
            </w:tcBorders>
            <w:noWrap w:val="0"/>
            <w:vAlign w:val="center"/>
          </w:tcPr>
          <w:p w14:paraId="732B629D">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矿业权（探矿权、采矿权）、建设用地使用权、农用地承包经营权或经营权、国有农用地的使用权、林地使用权、其他可获取合法收益的权利</w:t>
            </w:r>
            <w:r>
              <w:rPr>
                <w:rFonts w:hint="eastAsia" w:ascii="FangSong_GB2312" w:hAnsi="FangSong_GB2312" w:cs="FangSong_GB2312"/>
                <w:sz w:val="30"/>
                <w:szCs w:val="30"/>
              </w:rPr>
              <w:t>等。</w:t>
            </w:r>
          </w:p>
        </w:tc>
      </w:tr>
      <w:tr w14:paraId="26993255">
        <w:tblPrEx>
          <w:tblCellMar>
            <w:top w:w="0" w:type="dxa"/>
            <w:left w:w="108" w:type="dxa"/>
            <w:bottom w:w="0" w:type="dxa"/>
            <w:right w:w="108" w:type="dxa"/>
          </w:tblCellMar>
        </w:tblPrEx>
        <w:trPr>
          <w:trHeight w:val="2175"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14:paraId="0E5CA553">
            <w:pPr>
              <w:widowControl/>
              <w:spacing w:line="500" w:lineRule="exact"/>
              <w:rPr>
                <w:rFonts w:hint="eastAsia" w:ascii="FangSong_GB2312" w:hAnsi="FangSong_GB2312" w:cs="FangSong_GB2312"/>
                <w:color w:val="000000"/>
                <w:sz w:val="30"/>
                <w:szCs w:val="30"/>
              </w:rPr>
            </w:pPr>
          </w:p>
        </w:tc>
        <w:tc>
          <w:tcPr>
            <w:tcW w:w="1718" w:type="dxa"/>
            <w:tcBorders>
              <w:top w:val="nil"/>
              <w:left w:val="nil"/>
              <w:bottom w:val="single" w:color="auto" w:sz="4" w:space="0"/>
              <w:right w:val="single" w:color="auto" w:sz="4" w:space="0"/>
            </w:tcBorders>
            <w:noWrap w:val="0"/>
            <w:vAlign w:val="center"/>
          </w:tcPr>
          <w:p w14:paraId="1785DFB0">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土地资源+森林资源</w:t>
            </w:r>
          </w:p>
        </w:tc>
        <w:tc>
          <w:tcPr>
            <w:tcW w:w="6369" w:type="dxa"/>
            <w:tcBorders>
              <w:top w:val="nil"/>
              <w:left w:val="nil"/>
              <w:bottom w:val="single" w:color="auto" w:sz="4" w:space="0"/>
              <w:right w:val="single" w:color="auto" w:sz="4" w:space="0"/>
            </w:tcBorders>
            <w:noWrap w:val="0"/>
            <w:vAlign w:val="center"/>
          </w:tcPr>
          <w:p w14:paraId="1AEFCD9F">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建设用地使用权、农用地承包经营权或经营权、林地使用权、林地承包经营权或经营权、林木使用权或所有权、林果采集权、特许经营权、其他可获取合法收益的权利</w:t>
            </w:r>
            <w:r>
              <w:rPr>
                <w:rFonts w:hint="eastAsia" w:ascii="FangSong_GB2312" w:hAnsi="FangSong_GB2312" w:cs="FangSong_GB2312"/>
                <w:sz w:val="30"/>
                <w:szCs w:val="30"/>
              </w:rPr>
              <w:t>等。</w:t>
            </w:r>
          </w:p>
        </w:tc>
      </w:tr>
      <w:tr w14:paraId="2876736E">
        <w:tblPrEx>
          <w:tblCellMar>
            <w:top w:w="0" w:type="dxa"/>
            <w:left w:w="108" w:type="dxa"/>
            <w:bottom w:w="0" w:type="dxa"/>
            <w:right w:w="108" w:type="dxa"/>
          </w:tblCellMar>
        </w:tblPrEx>
        <w:trPr>
          <w:trHeight w:val="540"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14:paraId="6F9D42B3">
            <w:pPr>
              <w:widowControl/>
              <w:spacing w:line="500" w:lineRule="exact"/>
              <w:rPr>
                <w:rFonts w:hint="eastAsia" w:ascii="FangSong_GB2312" w:hAnsi="FangSong_GB2312" w:cs="FangSong_GB2312"/>
                <w:sz w:val="30"/>
                <w:szCs w:val="30"/>
              </w:rPr>
            </w:pPr>
          </w:p>
        </w:tc>
        <w:tc>
          <w:tcPr>
            <w:tcW w:w="1718" w:type="dxa"/>
            <w:tcBorders>
              <w:top w:val="nil"/>
              <w:left w:val="nil"/>
              <w:bottom w:val="single" w:color="auto" w:sz="4" w:space="0"/>
              <w:right w:val="single" w:color="auto" w:sz="4" w:space="0"/>
            </w:tcBorders>
            <w:noWrap w:val="0"/>
            <w:vAlign w:val="center"/>
          </w:tcPr>
          <w:p w14:paraId="04DEDC90">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 xml:space="preserve">土地资源+水域资源 </w:t>
            </w:r>
          </w:p>
        </w:tc>
        <w:tc>
          <w:tcPr>
            <w:tcW w:w="6369" w:type="dxa"/>
            <w:tcBorders>
              <w:top w:val="nil"/>
              <w:left w:val="nil"/>
              <w:bottom w:val="single" w:color="auto" w:sz="4" w:space="0"/>
              <w:right w:val="single" w:color="auto" w:sz="4" w:space="0"/>
            </w:tcBorders>
            <w:noWrap w:val="0"/>
            <w:vAlign w:val="center"/>
          </w:tcPr>
          <w:p w14:paraId="22A567AC">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建设用地使用权、农用地承包经营权或经营权、国有农用地的使用权、取水权、养殖（种植）权、特许经营权、其他可获取合法收益的权利等。</w:t>
            </w:r>
          </w:p>
        </w:tc>
      </w:tr>
      <w:tr w14:paraId="6AE5DC24">
        <w:tblPrEx>
          <w:tblCellMar>
            <w:top w:w="0" w:type="dxa"/>
            <w:left w:w="108" w:type="dxa"/>
            <w:bottom w:w="0" w:type="dxa"/>
            <w:right w:w="108" w:type="dxa"/>
          </w:tblCellMar>
        </w:tblPrEx>
        <w:trPr>
          <w:trHeight w:val="540"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14:paraId="5DFFC724">
            <w:pPr>
              <w:widowControl/>
              <w:spacing w:line="500" w:lineRule="exact"/>
              <w:rPr>
                <w:rFonts w:hint="eastAsia" w:ascii="FangSong_GB2312" w:hAnsi="FangSong_GB2312" w:cs="FangSong_GB2312"/>
                <w:sz w:val="30"/>
                <w:szCs w:val="30"/>
              </w:rPr>
            </w:pPr>
          </w:p>
        </w:tc>
        <w:tc>
          <w:tcPr>
            <w:tcW w:w="1718" w:type="dxa"/>
            <w:tcBorders>
              <w:top w:val="nil"/>
              <w:left w:val="nil"/>
              <w:bottom w:val="single" w:color="auto" w:sz="4" w:space="0"/>
              <w:right w:val="single" w:color="auto" w:sz="4" w:space="0"/>
            </w:tcBorders>
            <w:noWrap w:val="0"/>
            <w:vAlign w:val="center"/>
          </w:tcPr>
          <w:p w14:paraId="1B2600FC">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水域资源+森林资源</w:t>
            </w:r>
          </w:p>
        </w:tc>
        <w:tc>
          <w:tcPr>
            <w:tcW w:w="6369" w:type="dxa"/>
            <w:tcBorders>
              <w:top w:val="nil"/>
              <w:left w:val="nil"/>
              <w:bottom w:val="single" w:color="auto" w:sz="4" w:space="0"/>
              <w:right w:val="single" w:color="auto" w:sz="4" w:space="0"/>
            </w:tcBorders>
            <w:noWrap w:val="0"/>
            <w:vAlign w:val="center"/>
          </w:tcPr>
          <w:p w14:paraId="2FB2B58C">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取水权、养殖（种植）权、特许经营权、林地使用权、林地承包经营权或经营权、林木使用权或所有权、林果采集权、其他可获取合法收益的权利等。</w:t>
            </w:r>
          </w:p>
        </w:tc>
      </w:tr>
      <w:tr w14:paraId="7673C274">
        <w:tblPrEx>
          <w:tblCellMar>
            <w:top w:w="0" w:type="dxa"/>
            <w:left w:w="108" w:type="dxa"/>
            <w:bottom w:w="0" w:type="dxa"/>
            <w:right w:w="108" w:type="dxa"/>
          </w:tblCellMar>
        </w:tblPrEx>
        <w:trPr>
          <w:trHeight w:val="50" w:hRule="atLeast"/>
          <w:jc w:val="center"/>
        </w:trPr>
        <w:tc>
          <w:tcPr>
            <w:tcW w:w="1567" w:type="dxa"/>
            <w:tcBorders>
              <w:top w:val="nil"/>
              <w:left w:val="single" w:color="auto" w:sz="4" w:space="0"/>
              <w:bottom w:val="single" w:color="auto" w:sz="4" w:space="0"/>
              <w:right w:val="single" w:color="auto" w:sz="4" w:space="0"/>
            </w:tcBorders>
            <w:noWrap w:val="0"/>
            <w:vAlign w:val="center"/>
          </w:tcPr>
          <w:p w14:paraId="09135399">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同一资源不同权利权能组合</w:t>
            </w:r>
          </w:p>
        </w:tc>
        <w:tc>
          <w:tcPr>
            <w:tcW w:w="1718" w:type="dxa"/>
            <w:tcBorders>
              <w:top w:val="nil"/>
              <w:left w:val="nil"/>
              <w:bottom w:val="single" w:color="auto" w:sz="4" w:space="0"/>
              <w:right w:val="single" w:color="auto" w:sz="4" w:space="0"/>
            </w:tcBorders>
            <w:noWrap w:val="0"/>
            <w:vAlign w:val="center"/>
          </w:tcPr>
          <w:p w14:paraId="3C6D3DE6">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水域资源</w:t>
            </w:r>
          </w:p>
        </w:tc>
        <w:tc>
          <w:tcPr>
            <w:tcW w:w="6369" w:type="dxa"/>
            <w:tcBorders>
              <w:top w:val="nil"/>
              <w:left w:val="nil"/>
              <w:bottom w:val="single" w:color="auto" w:sz="4" w:space="0"/>
              <w:right w:val="single" w:color="auto" w:sz="4" w:space="0"/>
            </w:tcBorders>
            <w:noWrap w:val="0"/>
            <w:vAlign w:val="center"/>
          </w:tcPr>
          <w:p w14:paraId="22628404">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取水权、养殖（种植）权、水面光伏发电经营权、水面游泳观光经营权等其他可获取合法收益的权利等。</w:t>
            </w:r>
          </w:p>
        </w:tc>
      </w:tr>
    </w:tbl>
    <w:p w14:paraId="23FB7255">
      <w:pPr>
        <w:pStyle w:val="36"/>
        <w:widowControl w:val="0"/>
        <w:kinsoku/>
        <w:autoSpaceDE/>
        <w:autoSpaceDN/>
        <w:snapToGrid/>
        <w:spacing w:line="560" w:lineRule="exact"/>
        <w:ind w:firstLine="640"/>
        <w:rPr>
          <w:rFonts w:ascii="FangSong_GB2312" w:hAnsi="FangSong_GB2312" w:eastAsia="FangSong_GB2312" w:cs="FangSong_GB2312"/>
          <w:sz w:val="32"/>
          <w:szCs w:val="32"/>
        </w:rPr>
      </w:pPr>
      <w:bookmarkStart w:id="352" w:name="_Toc171687524"/>
      <w:bookmarkStart w:id="353" w:name="_Toc171693119"/>
      <w:bookmarkStart w:id="354" w:name="_Toc170647256"/>
      <w:bookmarkStart w:id="355" w:name="_Toc168762545"/>
      <w:bookmarkStart w:id="356" w:name="_Toc171186555"/>
      <w:r>
        <w:rPr>
          <w:rFonts w:ascii="FangSong_GB2312" w:hAnsi="FangSong_GB2312" w:eastAsia="FangSong_GB2312" w:cs="FangSong_GB2312"/>
          <w:sz w:val="32"/>
          <w:szCs w:val="32"/>
        </w:rPr>
        <w:t>b)建设用地使用权影响因素：依据与矿业权匹配的具体开发利用方式选择影响因素：</w:t>
      </w:r>
    </w:p>
    <w:p w14:paraId="07F1AB3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Ⅰ.作为矿业权的配套生产用地（工业）时，应重点关注关联行业产业用地的影响因素，以及土地位置、规模、形状、基础设施配套程度等特征与矿业权实施的开发利用匹配度；</w:t>
      </w:r>
    </w:p>
    <w:p w14:paraId="437A5D4F">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w:t>
      </w:r>
      <w:r>
        <w:rPr>
          <w:rFonts w:hint="default" w:ascii="FangSong_GB2312" w:hAnsi="FangSong_GB2312" w:eastAsia="FangSong_GB2312" w:cs="FangSong_GB2312"/>
          <w:sz w:val="32"/>
          <w:szCs w:val="32"/>
        </w:rPr>
        <w:t>作为</w:t>
      </w:r>
      <w:r>
        <w:rPr>
          <w:rFonts w:ascii="FangSong_GB2312" w:hAnsi="FangSong_GB2312" w:eastAsia="FangSong_GB2312" w:cs="FangSong_GB2312"/>
          <w:sz w:val="32"/>
          <w:szCs w:val="32"/>
        </w:rPr>
        <w:t>矿业权的配套经营用地（商业）时，应重点关注同一具体经营方向用地的影响因素，以及土地位置、规模、形状、基础设施配套程度等特征与矿业权实施的开发利用匹配度；</w:t>
      </w:r>
    </w:p>
    <w:p w14:paraId="40D3EF7C">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w:t>
      </w:r>
      <w:r>
        <w:rPr>
          <w:rFonts w:hint="default" w:ascii="FangSong_GB2312" w:hAnsi="FangSong_GB2312" w:eastAsia="FangSong_GB2312" w:cs="FangSong_GB2312"/>
          <w:sz w:val="32"/>
          <w:szCs w:val="32"/>
        </w:rPr>
        <w:t>作为</w:t>
      </w:r>
      <w:r>
        <w:rPr>
          <w:rFonts w:ascii="FangSong_GB2312" w:hAnsi="FangSong_GB2312" w:eastAsia="FangSong_GB2312" w:cs="FangSong_GB2312"/>
          <w:sz w:val="32"/>
          <w:szCs w:val="32"/>
        </w:rPr>
        <w:t>采矿用地时，应重点关注土地个别因素与采矿工程实施便利的契合度。</w:t>
      </w:r>
    </w:p>
    <w:p w14:paraId="1E7F2259">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11.2.2评估方法选择与运用要点</w:t>
      </w:r>
      <w:bookmarkEnd w:id="352"/>
      <w:bookmarkEnd w:id="353"/>
      <w:bookmarkEnd w:id="354"/>
      <w:bookmarkEnd w:id="355"/>
      <w:bookmarkEnd w:id="356"/>
    </w:p>
    <w:p w14:paraId="0E52AEFE">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整体评估中涉及按出让金</w:t>
      </w:r>
      <w:r>
        <w:rPr>
          <w:rFonts w:hint="default" w:ascii="FangSong_GB2312" w:hAnsi="FangSong_GB2312" w:eastAsia="FangSong_GB2312" w:cs="FangSong_GB2312"/>
          <w:sz w:val="32"/>
          <w:szCs w:val="32"/>
        </w:rPr>
        <w:t>额形式征收出让收益</w:t>
      </w:r>
      <w:r>
        <w:rPr>
          <w:rFonts w:ascii="FangSong_GB2312" w:hAnsi="FangSong_GB2312" w:eastAsia="FangSong_GB2312" w:cs="FangSong_GB2312"/>
          <w:sz w:val="32"/>
          <w:szCs w:val="32"/>
        </w:rPr>
        <w:t>的矿业权时，宜采用分估模式，根据矿业权、建设用地使用权各自的特征选择适用的方法；方法运用中需要特别关注以下要点。</w:t>
      </w:r>
    </w:p>
    <w:p w14:paraId="304311AB">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a</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eastAsia="zh-CN"/>
        </w:rPr>
        <w:t>矿业权评估：以预期收益贴现还原路径类方法评估矿业权，确定折现率时，应考虑组合供应中程序效率在降低风险方面的影响；运用其他路径方法时，可在方法测算结果中考虑程序效率对需求方出价意愿的正向影响，增加程序效率修正。</w:t>
      </w:r>
    </w:p>
    <w:p w14:paraId="520979DF">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eastAsia="zh-CN"/>
        </w:rPr>
        <w:t>b</w:t>
      </w:r>
      <w:r>
        <w:rPr>
          <w:rFonts w:hint="eastAsia" w:ascii="FangSong_GB2312" w:hAnsi="FangSong_GB2312" w:eastAsia="FangSong_GB2312" w:cs="FangSong_GB2312"/>
          <w:sz w:val="32"/>
          <w:szCs w:val="32"/>
        </w:rPr>
        <w:t>)建设用地使用权评估：</w:t>
      </w:r>
    </w:p>
    <w:p w14:paraId="48E4EB6F">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Ⅰ.适用市场比较法时，应选择位于同区域内、同类用途、同种具体开发利用模式的交易案例</w:t>
      </w:r>
      <w:r>
        <w:rPr>
          <w:rFonts w:hint="default" w:ascii="FangSong_GB2312" w:hAnsi="FangSong_GB2312" w:eastAsia="FangSong_GB2312" w:cs="FangSong_GB2312"/>
          <w:sz w:val="32"/>
          <w:szCs w:val="32"/>
        </w:rPr>
        <w:t>作为</w:t>
      </w:r>
      <w:r>
        <w:rPr>
          <w:rFonts w:ascii="FangSong_GB2312" w:hAnsi="FangSong_GB2312" w:eastAsia="FangSong_GB2312" w:cs="FangSong_GB2312"/>
          <w:sz w:val="32"/>
          <w:szCs w:val="32"/>
        </w:rPr>
        <w:t>比较实例，可通过增加组合效应修正体现资产包整体运营对其价格的影响；</w:t>
      </w:r>
    </w:p>
    <w:p w14:paraId="1565A28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Ⅱ.适用收益还原法时，收益来源及持续期通常与矿业权的实施密切关联，根据市场调查确定同类收益的客观水平；资产包整体运营通常有利于降低同类收益的风险水平，可在还原率确定中予以体现；</w:t>
      </w:r>
    </w:p>
    <w:p w14:paraId="1CD3F9BD">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Ⅲ.适用成本逼近法时，资产包组合产生的影响可在利润率、增值收益率中体现，通常略高于同区域内同类用途的非组合供应案例水平。</w:t>
      </w:r>
    </w:p>
    <w:p w14:paraId="2A2D2885">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57" w:name="_Toc171693120"/>
      <w:r>
        <w:rPr>
          <w:rFonts w:hint="eastAsia" w:ascii="楷体_GB2312" w:hAnsi="楷体_GB2312" w:eastAsia="楷体_GB2312" w:cs="楷体_GB2312"/>
          <w:sz w:val="32"/>
          <w:szCs w:val="32"/>
        </w:rPr>
        <w:t>11.3建设用地+森林资源资产包评估要点</w:t>
      </w:r>
      <w:bookmarkEnd w:id="357"/>
    </w:p>
    <w:p w14:paraId="08B593D1">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58" w:name="_Toc171693121"/>
      <w:bookmarkStart w:id="359" w:name="_Toc171186557"/>
      <w:bookmarkStart w:id="360" w:name="_Toc170647258"/>
      <w:bookmarkStart w:id="361" w:name="_Toc168762547"/>
      <w:bookmarkStart w:id="362" w:name="_Toc171687526"/>
      <w:r>
        <w:rPr>
          <w:rFonts w:hint="eastAsia" w:ascii="FangSong_GB2312" w:hAnsi="FangSong_GB2312" w:eastAsia="FangSong_GB2312" w:cs="FangSong_GB2312"/>
          <w:sz w:val="32"/>
          <w:szCs w:val="32"/>
        </w:rPr>
        <w:t>11.3.1主要影响因素及其作用规律</w:t>
      </w:r>
      <w:bookmarkEnd w:id="358"/>
      <w:bookmarkEnd w:id="359"/>
      <w:bookmarkEnd w:id="360"/>
      <w:bookmarkEnd w:id="361"/>
      <w:bookmarkEnd w:id="362"/>
    </w:p>
    <w:p w14:paraId="6DE1B427">
      <w:pPr>
        <w:pStyle w:val="58"/>
        <w:widowControl w:val="0"/>
        <w:kinsoku/>
        <w:autoSpaceDE/>
        <w:autoSpaceDN/>
        <w:adjustRightInd/>
        <w:snapToGrid/>
        <w:spacing w:line="560" w:lineRule="exact"/>
        <w:ind w:firstLine="640" w:firstLineChars="0"/>
        <w:jc w:val="both"/>
        <w:rPr>
          <w:rFonts w:hint="eastAsia" w:ascii="FangSong_GB2312" w:hAnsi="FangSong_GB2312" w:eastAsia="FangSong_GB2312" w:cs="FangSong_GB2312"/>
          <w:sz w:val="32"/>
          <w:szCs w:val="32"/>
          <w:lang w:eastAsia="zh-CN"/>
        </w:rPr>
      </w:pPr>
      <w:bookmarkStart w:id="363" w:name="_Toc168762548"/>
      <w:r>
        <w:rPr>
          <w:rFonts w:hint="eastAsia" w:ascii="FangSong_GB2312" w:hAnsi="FangSong_GB2312" w:eastAsia="FangSong_GB2312" w:cs="FangSong_GB2312"/>
          <w:sz w:val="32"/>
          <w:szCs w:val="32"/>
          <w:lang w:eastAsia="zh-CN"/>
        </w:rPr>
        <w:t>除各类资源资产评估中的常规价格影响因素及其作用规律外，整体评估中还需特别关注以下关联因素及其对资产包中相应资源资产价格的影响。</w:t>
      </w:r>
    </w:p>
    <w:p w14:paraId="014BCB09">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a)建设用地影响因素</w:t>
      </w:r>
    </w:p>
    <w:p w14:paraId="649C4D0A">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根据规划条件和资产包运营方案设计中确定的建设用地具体开发利用模式选择价格影响因素：</w:t>
      </w:r>
    </w:p>
    <w:p w14:paraId="2C2AE6C1">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Ⅰ.</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商品住宅用地时，关注森林景观影响因素及其对建设用地形成的生态溢价影响；</w:t>
      </w:r>
    </w:p>
    <w:p w14:paraId="32B7D878">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Ⅱ.</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酒店宾馆等旅游设施类商服用地时，关注森林景观影响因素及其对于吸引更多游客、提升消费品质、丰富消费项目等形成的影响；</w:t>
      </w:r>
    </w:p>
    <w:p w14:paraId="17107F4F">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Ⅲ.</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林产品生产加工配套设施用地时，影响因素参照工业用地。</w:t>
      </w:r>
    </w:p>
    <w:p w14:paraId="4A50EF6A">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b)森林资源影响因素</w:t>
      </w:r>
    </w:p>
    <w:p w14:paraId="2DA2D9B5">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根据规划条件和资产包运营方案设计中确定的森林资源具体开发利用模式选择价格影响因素：</w:t>
      </w:r>
    </w:p>
    <w:p w14:paraId="36544EED">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Ⅰ.</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 xml:space="preserve">提供森林景观之用时，关注资产包中建设用地可为森林景观游览提供的住宿、餐饮、娱乐等配套设施形成的旅游便利因素； </w:t>
      </w:r>
    </w:p>
    <w:p w14:paraId="52B57B02">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Ⅱ.</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可交易林权或林产品养殖（种植）之用时，关注资产包中建设用地可为林业采运、林产品初加工等提供的生产便利因素。</w:t>
      </w:r>
    </w:p>
    <w:p w14:paraId="7D732C17">
      <w:pPr>
        <w:pStyle w:val="58"/>
        <w:widowControl w:val="0"/>
        <w:kinsoku/>
        <w:autoSpaceDE/>
        <w:autoSpaceDN/>
        <w:adjustRightInd/>
        <w:snapToGrid/>
        <w:spacing w:line="560" w:lineRule="exact"/>
        <w:ind w:firstLine="0" w:firstLineChars="0"/>
        <w:jc w:val="both"/>
        <w:rPr>
          <w:rFonts w:hint="eastAsia" w:ascii="FangSong_GB2312" w:hAnsi="FangSong_GB2312" w:eastAsia="FangSong_GB2312" w:cs="FangSong_GB2312"/>
          <w:sz w:val="32"/>
          <w:szCs w:val="32"/>
          <w:lang w:eastAsia="zh-CN"/>
        </w:rPr>
      </w:pPr>
      <w:bookmarkStart w:id="364" w:name="_Toc171687527"/>
      <w:bookmarkStart w:id="365" w:name="_Toc170647259"/>
      <w:bookmarkStart w:id="366" w:name="_Toc171693122"/>
      <w:bookmarkStart w:id="367" w:name="_Toc171186558"/>
      <w:r>
        <w:rPr>
          <w:rFonts w:hint="eastAsia" w:ascii="FangSong_GB2312" w:hAnsi="FangSong_GB2312" w:eastAsia="FangSong_GB2312" w:cs="FangSong_GB2312"/>
          <w:sz w:val="32"/>
          <w:szCs w:val="32"/>
          <w:lang w:eastAsia="zh-CN"/>
        </w:rPr>
        <w:t xml:space="preserve">    11.3.2评估方法选择与运用要点</w:t>
      </w:r>
      <w:bookmarkEnd w:id="363"/>
      <w:bookmarkEnd w:id="364"/>
      <w:bookmarkEnd w:id="365"/>
      <w:bookmarkEnd w:id="366"/>
      <w:bookmarkEnd w:id="367"/>
    </w:p>
    <w:p w14:paraId="2905690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采用合估模式时，优先选用预期收益贴现还原路径类方法或整体价值剥离显化路径类方法，并需分别测算资产包的整体还原率（折现率）和整体利润率；采用分估模式时，根据建设用地使用权、森林资源各自的特征选择适用的方法；方法运用中需要特别关注以下要点。</w:t>
      </w:r>
    </w:p>
    <w:p w14:paraId="75184707">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a)建设用地使用权评估：</w:t>
      </w:r>
    </w:p>
    <w:p w14:paraId="7F0740F3">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Ⅰ.选用剩余法时，森林景观对商品住宅用地的影响可在商品房售价或租金中体现；</w:t>
      </w:r>
    </w:p>
    <w:p w14:paraId="5686BFDE">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Ⅱ.选用收益还原法时，森林景观对旅游商服用地的影响可在经营收入、成本、风险等参数中体现；</w:t>
      </w:r>
    </w:p>
    <w:p w14:paraId="2437AC4E">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Ⅲ.选用市场比较法、成本逼近法时，森林景观对建设用地的影响可通过增加比较因素、调整利润率或增值收益率等体现。</w:t>
      </w:r>
    </w:p>
    <w:p w14:paraId="0D041A80">
      <w:pPr>
        <w:pStyle w:val="36"/>
        <w:widowControl w:val="0"/>
        <w:kinsoku/>
        <w:autoSpaceDE/>
        <w:autoSpaceDN/>
        <w:snapToGrid/>
        <w:spacing w:line="560" w:lineRule="exact"/>
        <w:ind w:firstLine="42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b)森林资源资产评估：</w:t>
      </w:r>
    </w:p>
    <w:p w14:paraId="7BB28168">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Ⅰ.选用市场成交价比较法评估森林景观资产时，可增加旅游设施便利度修正；</w:t>
      </w:r>
    </w:p>
    <w:p w14:paraId="6363E687">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Ⅱ.选用年金资本化法、模拟开发法评估森林景观资产价值时，资产包内建设用地提供的旅游设施便利影响可在预期收入（或净收益）中体现；</w:t>
      </w:r>
    </w:p>
    <w:p w14:paraId="3674DACD">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Ⅲ.评估林地承包经营权及林木采伐、林果采集等权利价值时，资产包内建设用地提供的生产便利因素可通过降低运营成本或改善微观区位条件、提升市场偏好等予以体现。</w:t>
      </w:r>
    </w:p>
    <w:p w14:paraId="5BE4AC60">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68" w:name="_Toc171693123"/>
      <w:r>
        <w:rPr>
          <w:rFonts w:hint="eastAsia" w:ascii="楷体_GB2312" w:hAnsi="楷体_GB2312" w:eastAsia="楷体_GB2312" w:cs="楷体_GB2312"/>
          <w:sz w:val="32"/>
          <w:szCs w:val="32"/>
        </w:rPr>
        <w:t>11.4水域资源+土地资源资产包评估要点</w:t>
      </w:r>
      <w:bookmarkEnd w:id="368"/>
    </w:p>
    <w:p w14:paraId="7A3D286E">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69" w:name="_Toc170647261"/>
      <w:bookmarkStart w:id="370" w:name="_Toc171687529"/>
      <w:bookmarkStart w:id="371" w:name="_Toc171186560"/>
      <w:bookmarkStart w:id="372" w:name="_Toc168762550"/>
      <w:bookmarkStart w:id="373" w:name="_Toc171693124"/>
      <w:r>
        <w:rPr>
          <w:rFonts w:hint="eastAsia" w:ascii="FangSong_GB2312" w:hAnsi="FangSong_GB2312" w:eastAsia="FangSong_GB2312" w:cs="FangSong_GB2312"/>
          <w:sz w:val="32"/>
          <w:szCs w:val="32"/>
        </w:rPr>
        <w:t>11.4.1主要影响因素及其作用规律</w:t>
      </w:r>
      <w:bookmarkEnd w:id="369"/>
      <w:bookmarkEnd w:id="370"/>
      <w:bookmarkEnd w:id="371"/>
      <w:bookmarkEnd w:id="372"/>
      <w:bookmarkEnd w:id="373"/>
    </w:p>
    <w:p w14:paraId="37E6268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除各类资源资产评估中的常规价格影响因素及其作用规律外，整体评估中还需特别关注以下关联因素及其对资产包中相应资源资产价格的影响。</w:t>
      </w:r>
    </w:p>
    <w:p w14:paraId="128D8F6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a)水域资源影响因素：根据规划条件和资产包运营方案设计中确定的水域资源具体开发利用模式选择价格影响因素：</w:t>
      </w:r>
    </w:p>
    <w:p w14:paraId="1AC88998">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Ⅰ.作为养殖（种植）的空间载体时，关注资产包中设施农用地、建设用地可提供的生产设施、仓库与管理用房、分拣加工等各项生产经营便利因素可能带来的降本增效影响；</w:t>
      </w:r>
    </w:p>
    <w:p w14:paraId="3713A23B">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Ⅱ.作为水面旅游观光经营的空间载体时，关注资产包中建设用地可提供的宾馆酒店、码头公园等游憩设施形成的旅游配套设施完善、娱乐品质提升等正向影响；</w:t>
      </w:r>
    </w:p>
    <w:p w14:paraId="1AB6EC62">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Ⅲ.作为水面光伏发电经营的空间载体时，关注资产包中建设用地可提供必要的管理用房等配套设施形成的便利因素影响； </w:t>
      </w:r>
    </w:p>
    <w:p w14:paraId="64F2ABBC">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Ⅳ.提供取水权供给时，资产包中土地资源可能贡献的关联影响参见11.2.1。</w:t>
      </w:r>
    </w:p>
    <w:p w14:paraId="078BADFD">
      <w:pPr>
        <w:pStyle w:val="43"/>
        <w:widowControl w:val="0"/>
        <w:spacing w:before="0" w:beforeLines="0" w:after="0" w:afterLines="0" w:line="560" w:lineRule="exact"/>
        <w:ind w:left="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b)土地资源影响因素：根据规划条件和资产包运营方案设计中确定的土地资源具体开发利用模式选择价格影响因素：</w:t>
      </w:r>
    </w:p>
    <w:p w14:paraId="36714CD8">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作为为水面养殖（种植）、水面光伏发电、水面旅游观光经营提供必要的配套设施的设施农用地或建设用地时，若土地有相对独立的生产经营获利能力，关注资产包中其他利用方式实施对土地生产经营收入或成本的影响；</w:t>
      </w:r>
    </w:p>
    <w:p w14:paraId="3D279FBD">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Ⅱ.作为开发商品住宅或酒店宾馆等独立经营性建设用地时，关注资产包中水域资源可产生的生态溢价对土地开发产品价值或经营收益的关联影响，具体参见11.3.1a)。</w:t>
      </w:r>
    </w:p>
    <w:p w14:paraId="066C32FA">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74" w:name="_Toc168762551"/>
      <w:bookmarkStart w:id="375" w:name="_Toc170647262"/>
      <w:bookmarkStart w:id="376" w:name="_Toc171693125"/>
      <w:bookmarkStart w:id="377" w:name="_Toc171186561"/>
      <w:bookmarkStart w:id="378" w:name="_Toc171687530"/>
      <w:r>
        <w:rPr>
          <w:rFonts w:hint="eastAsia" w:ascii="FangSong_GB2312" w:hAnsi="FangSong_GB2312" w:eastAsia="FangSong_GB2312" w:cs="FangSong_GB2312"/>
          <w:sz w:val="32"/>
          <w:szCs w:val="32"/>
        </w:rPr>
        <w:t>11.4.2评估方法选择与运用要点</w:t>
      </w:r>
      <w:bookmarkEnd w:id="374"/>
      <w:bookmarkEnd w:id="375"/>
      <w:bookmarkEnd w:id="376"/>
      <w:bookmarkEnd w:id="377"/>
      <w:bookmarkEnd w:id="378"/>
    </w:p>
    <w:p w14:paraId="5F31B775">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采用合估模式时，优先选用预期收益贴现还原路径类方法或整体价值剥离显化路径类方法，并需分别测算资产包的整体还原率（折现率）和整体利润率；采用分估模式时，方法选择及运用中需要特别关注以下要点。</w:t>
      </w:r>
    </w:p>
    <w:p w14:paraId="1D57909E">
      <w:pPr>
        <w:pStyle w:val="43"/>
        <w:widowControl w:val="0"/>
        <w:spacing w:before="0" w:beforeLines="0" w:after="0" w:afterLines="0" w:line="560" w:lineRule="exact"/>
        <w:ind w:left="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a)基于水域资源的相关权利或不同利用方式下的价格评估：</w:t>
      </w:r>
    </w:p>
    <w:p w14:paraId="16EC4645">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Ⅰ.评估养殖（种植）权价格宜首选预期收益贴现还原路径类评估方法；关注是否可同时实现养殖、种植等多种收益；资产包内土地提供的配套设施便利影响可在还原率（贴现率）测算中的风险因素体现；</w:t>
      </w:r>
    </w:p>
    <w:p w14:paraId="37B062D2">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评估水面旅游观光、光伏发电等利用方式下的价格时，对尚未开发建成的项目宜首选整体价值剥离显化路径类评估方法，分段采用净现金流测算开发完成后的整体价值；资产包内土地提供的配套设施便利影响可在提升开发项目总价值或利好于日常经营收入、降低经营风险等环节体现。</w:t>
      </w:r>
    </w:p>
    <w:p w14:paraId="504BDA1B">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Ⅲ.评估取水权价格时，区别城乡供水、农业用水、能源用水、景观用水等不同用途，依据水权交易市场的可比案例，通过比较修正确定，或依据当地水费征收标准及相关政策定价执行。</w:t>
      </w:r>
    </w:p>
    <w:p w14:paraId="726A380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b)土地使用权价格评估：</w:t>
      </w:r>
    </w:p>
    <w:p w14:paraId="15632201">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评估为水面养殖（种植）或各类水面经营提供配套设施的土地使用权价格时，若在限定规划条件下，土地无独立生产、经营获利能力，宜首选成本逼近法、公示地价系数修正法评估，相关参数可参照同区域内公服设施用地取值；</w:t>
      </w:r>
    </w:p>
    <w:p w14:paraId="69F6B19F">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Ⅱ.评估作为开发商品住宅或酒店宾馆等独立经营性建设用地时，各方法应用中需特别关注的要点参见11.3.2a)</w:t>
      </w:r>
    </w:p>
    <w:p w14:paraId="3F03B626">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79" w:name="_Toc171693126"/>
      <w:r>
        <w:rPr>
          <w:rFonts w:hint="eastAsia" w:ascii="楷体_GB2312" w:hAnsi="楷体_GB2312" w:eastAsia="楷体_GB2312" w:cs="楷体_GB2312"/>
          <w:sz w:val="32"/>
          <w:szCs w:val="32"/>
        </w:rPr>
        <w:t>11.5水域资源+森林资源资产包评估要点</w:t>
      </w:r>
      <w:bookmarkEnd w:id="379"/>
    </w:p>
    <w:p w14:paraId="3C9FAD80">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80" w:name="_Toc171186563"/>
      <w:bookmarkStart w:id="381" w:name="_Toc170647264"/>
      <w:bookmarkStart w:id="382" w:name="_Toc171687532"/>
      <w:bookmarkStart w:id="383" w:name="_Toc171693127"/>
      <w:bookmarkStart w:id="384" w:name="_Toc168762553"/>
      <w:r>
        <w:rPr>
          <w:rFonts w:hint="eastAsia" w:ascii="FangSong_GB2312" w:hAnsi="FangSong_GB2312" w:eastAsia="FangSong_GB2312" w:cs="FangSong_GB2312"/>
          <w:sz w:val="32"/>
          <w:szCs w:val="32"/>
        </w:rPr>
        <w:t>11.5.1主要影响因素及其作用规律</w:t>
      </w:r>
      <w:bookmarkEnd w:id="380"/>
      <w:bookmarkEnd w:id="381"/>
      <w:bookmarkEnd w:id="382"/>
      <w:bookmarkEnd w:id="383"/>
      <w:bookmarkEnd w:id="384"/>
    </w:p>
    <w:p w14:paraId="74AEB8DC">
      <w:pPr>
        <w:pStyle w:val="36"/>
        <w:widowControl w:val="0"/>
        <w:kinsoku/>
        <w:autoSpaceDE/>
        <w:autoSpaceDN/>
        <w:snapToGrid/>
        <w:spacing w:line="560" w:lineRule="exact"/>
        <w:ind w:firstLine="640"/>
        <w:rPr>
          <w:rFonts w:ascii="FangSong_GB2312" w:hAnsi="FangSong_GB2312" w:eastAsia="FangSong_GB2312" w:cs="FangSong_GB2312"/>
          <w:sz w:val="32"/>
          <w:szCs w:val="32"/>
        </w:rPr>
      </w:pPr>
      <w:bookmarkStart w:id="385" w:name="_Toc170647265"/>
      <w:bookmarkStart w:id="386" w:name="_Toc168762554"/>
      <w:r>
        <w:rPr>
          <w:rFonts w:ascii="FangSong_GB2312" w:hAnsi="FangSong_GB2312" w:eastAsia="FangSong_GB2312" w:cs="FangSong_GB2312"/>
          <w:sz w:val="32"/>
          <w:szCs w:val="32"/>
        </w:rPr>
        <w:t>此类资产包通常以开发经营生态景观资产为主导，兼具养殖（种植）、林下经济等特色农业生产经营：</w:t>
      </w:r>
    </w:p>
    <w:p w14:paraId="2375BADB">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w:t>
      </w:r>
      <w:r>
        <w:rPr>
          <w:rFonts w:ascii="FangSong_GB2312" w:hAnsi="FangSong_GB2312" w:eastAsia="FangSong_GB2312" w:cs="FangSong_GB2312"/>
          <w:sz w:val="32"/>
          <w:szCs w:val="32"/>
        </w:rPr>
        <w:t>作为</w:t>
      </w:r>
      <w:r>
        <w:rPr>
          <w:rFonts w:hint="eastAsia" w:ascii="FangSong_GB2312" w:hAnsi="FangSong_GB2312" w:eastAsia="FangSong_GB2312" w:cs="FangSong_GB2312"/>
          <w:sz w:val="32"/>
          <w:szCs w:val="32"/>
        </w:rPr>
        <w:t>生态景观资源资产的影响因素：主要包括反映生态景观质量的自然因素（林分生长状况、立地质量、地利等级、水环境质量、水生物、周边地貌等）、旅游区位条件因素（交通便利度、旅游设施完备度、旅游资源集聚度等）、区域经济水平等社会经济因素，以及景观的独特性等个别因素；</w:t>
      </w:r>
    </w:p>
    <w:p w14:paraId="79C15DE2">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w:t>
      </w:r>
      <w:r>
        <w:rPr>
          <w:rFonts w:ascii="FangSong_GB2312" w:hAnsi="FangSong_GB2312" w:eastAsia="FangSong_GB2312" w:cs="FangSong_GB2312"/>
          <w:sz w:val="32"/>
          <w:szCs w:val="32"/>
        </w:rPr>
        <w:t>作为</w:t>
      </w:r>
      <w:r>
        <w:rPr>
          <w:rFonts w:hint="eastAsia" w:ascii="FangSong_GB2312" w:hAnsi="FangSong_GB2312" w:eastAsia="FangSong_GB2312" w:cs="FangSong_GB2312"/>
          <w:sz w:val="32"/>
          <w:szCs w:val="32"/>
        </w:rPr>
        <w:t>特色农业生产经营资源资产的影响因素：主要包括反映自然资源养育能力及质量的自然因素（水质、水温、水深、气候、地形、地貌、土壤、生态环境等因素）、区位条件因素、区域经济水平等社会经济因素，以及农产品质量与产量、经营方式等个别因素。</w:t>
      </w:r>
    </w:p>
    <w:p w14:paraId="048E81E6">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87" w:name="_Toc171186564"/>
      <w:bookmarkStart w:id="388" w:name="_Toc171693128"/>
      <w:bookmarkStart w:id="389" w:name="_Toc171687533"/>
      <w:r>
        <w:rPr>
          <w:rFonts w:hint="eastAsia" w:ascii="FangSong_GB2312" w:hAnsi="FangSong_GB2312" w:eastAsia="FangSong_GB2312" w:cs="FangSong_GB2312"/>
          <w:sz w:val="32"/>
          <w:szCs w:val="32"/>
        </w:rPr>
        <w:t>11.5.2评估方法选择与运用要点</w:t>
      </w:r>
      <w:bookmarkEnd w:id="385"/>
      <w:bookmarkEnd w:id="386"/>
      <w:bookmarkEnd w:id="387"/>
      <w:bookmarkEnd w:id="388"/>
      <w:bookmarkEnd w:id="389"/>
    </w:p>
    <w:p w14:paraId="55404139">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采用合估模式时，优先选用预期收益贴现还原路径类方法、整体价值剥离显化路径类方法，并需分别测算资产包的整体还原率（折现率）和整体利润率；采用分估模式时，方法选择及运用中需要特别关注以下要点。</w:t>
      </w:r>
    </w:p>
    <w:p w14:paraId="33841897">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a)评估生态景观资源资产价格时，对尚未开发建成的项目宜首选整体价值剥离显化路径类评估方法，分段采用净现金流测算开发完成后的整体价值； </w:t>
      </w:r>
    </w:p>
    <w:p w14:paraId="11613C66">
      <w:pPr>
        <w:pStyle w:val="50"/>
        <w:widowControl w:val="0"/>
        <w:numPr>
          <w:ilvl w:val="0"/>
          <w:numId w:val="0"/>
        </w:numPr>
        <w:tabs>
          <w:tab w:val="left" w:pos="426"/>
        </w:tabs>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b)评估农业生产经营资源资产价格时，首选预期收益贴现还原路径类方法；关注是否可同时实现养殖、种植等多种经营收益；资产包整体运营中规模效应的影响可通过提升经营收益、降低运营成本予以体现；</w:t>
      </w:r>
    </w:p>
    <w:p w14:paraId="291D55D4">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c)当资产包中存在森林碳汇等可交易的生态权益类产品时，宜通过预期收益贴现还原路径类方法单独测算其收益价格。 </w:t>
      </w:r>
    </w:p>
    <w:p w14:paraId="15C3B80B">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90" w:name="_Toc171693129"/>
      <w:r>
        <w:rPr>
          <w:rFonts w:hint="eastAsia" w:ascii="楷体_GB2312" w:hAnsi="楷体_GB2312" w:eastAsia="楷体_GB2312" w:cs="楷体_GB2312"/>
          <w:sz w:val="32"/>
          <w:szCs w:val="32"/>
        </w:rPr>
        <w:t>11.6基于水域资源的多种权利或利用方式组合资产包评估要点</w:t>
      </w:r>
      <w:bookmarkEnd w:id="390"/>
    </w:p>
    <w:p w14:paraId="1EB05A6A">
      <w:pPr>
        <w:pStyle w:val="60"/>
        <w:spacing w:before="0" w:beforeLines="0" w:after="0" w:afterLines="0" w:line="560" w:lineRule="exact"/>
        <w:rPr>
          <w:rFonts w:hint="eastAsia" w:ascii="FangSong_GB2312" w:hAnsi="FangSong_GB2312" w:eastAsia="FangSong_GB2312" w:cs="FangSong_GB2312"/>
          <w:sz w:val="32"/>
          <w:szCs w:val="32"/>
        </w:rPr>
      </w:pPr>
      <w:bookmarkStart w:id="391" w:name="_Toc171693130"/>
      <w:bookmarkStart w:id="392" w:name="_Toc171687535"/>
      <w:bookmarkStart w:id="393" w:name="_Toc171186566"/>
      <w:r>
        <w:rPr>
          <w:rFonts w:hint="eastAsia" w:ascii="FangSong_GB2312" w:hAnsi="FangSong_GB2312" w:eastAsia="FangSong_GB2312" w:cs="FangSong_GB2312"/>
          <w:sz w:val="32"/>
          <w:szCs w:val="32"/>
        </w:rPr>
        <w:t xml:space="preserve">    11.6.1主要影响因素及其作用规律</w:t>
      </w:r>
      <w:bookmarkEnd w:id="391"/>
      <w:bookmarkEnd w:id="392"/>
      <w:bookmarkEnd w:id="393"/>
    </w:p>
    <w:p w14:paraId="2F7E8B92">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此类资产包通常由水面养殖（种植）权、水面旅游观光经营权、水面光伏发电经营权、河道采砂权、取水权等多种权利或利用方式组成，除常规影响因素外，整体评估中还需特别关注的关联影响因素如下。</w:t>
      </w:r>
    </w:p>
    <w:p w14:paraId="7B092EAD">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a)同一区域内不同权利或利用方式之间可能存在的相互影响：</w:t>
      </w:r>
    </w:p>
    <w:p w14:paraId="5B57DE71">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Ⅰ.养殖（种植）是否会对水面光伏发电设施的建设要求（光伏板铺设的密度、高度等）、维护成本，以及发电效率等产生影响；</w:t>
      </w:r>
    </w:p>
    <w:p w14:paraId="44FDEBE9">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Ⅱ.水面光伏发电设施设备对养殖（种植）的生物种类、生长特征与品质特征是否存在不利影响；</w:t>
      </w:r>
    </w:p>
    <w:p w14:paraId="787FA923">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Ⅲ.养殖（种植）是否有助于吸引旅游观光客流，或形成采摘、垂钓等旅游消费项目；</w:t>
      </w:r>
    </w:p>
    <w:p w14:paraId="5414E54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Ⅳ.水面光伏发电经营实施区域是否对旅游观光设施设备或游览区域形成限制；</w:t>
      </w:r>
    </w:p>
    <w:p w14:paraId="59E80D5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Ⅴ.取水权、采砂权的实施是否对水产养殖（种植）存在影响。 </w:t>
      </w:r>
    </w:p>
    <w:p w14:paraId="2706E712">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b)达到一定规模时，规模效应在降本增效方面的影响：</w:t>
      </w:r>
    </w:p>
    <w:p w14:paraId="42E2887B">
      <w:pPr>
        <w:pStyle w:val="50"/>
        <w:widowControl w:val="0"/>
        <w:numPr>
          <w:ilvl w:val="0"/>
          <w:numId w:val="0"/>
        </w:numPr>
        <w:spacing w:line="560" w:lineRule="exac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Ⅰ.降低整体管护、运营成本；</w:t>
      </w:r>
    </w:p>
    <w:p w14:paraId="381AAF25">
      <w:pPr>
        <w:pStyle w:val="50"/>
        <w:widowControl w:val="0"/>
        <w:numPr>
          <w:ilvl w:val="0"/>
          <w:numId w:val="0"/>
        </w:numPr>
        <w:spacing w:line="560" w:lineRule="exac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Ⅱ.降低整体运营风险等。</w:t>
      </w:r>
    </w:p>
    <w:p w14:paraId="77A30BDF">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94" w:name="_Toc171186567"/>
      <w:bookmarkStart w:id="395" w:name="_Toc171693131"/>
      <w:bookmarkStart w:id="396" w:name="_Toc171687536"/>
      <w:r>
        <w:rPr>
          <w:rFonts w:hint="eastAsia" w:ascii="FangSong_GB2312" w:hAnsi="FangSong_GB2312" w:eastAsia="FangSong_GB2312" w:cs="FangSong_GB2312"/>
          <w:sz w:val="32"/>
          <w:szCs w:val="32"/>
        </w:rPr>
        <w:t>11.6.2评估方法选择与运用要点</w:t>
      </w:r>
      <w:bookmarkEnd w:id="394"/>
      <w:bookmarkEnd w:id="395"/>
      <w:bookmarkEnd w:id="396"/>
    </w:p>
    <w:p w14:paraId="0287CFC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采用合估模式时，优先选用预期收益贴现还原路径类方法或整体价值剥离显化路径类方法，并需分别测算资产包的整体还原率（折现率）和整体利润率；采用分估模式时，方法选择及运用中需要特别关注的要点参见前述相关章节。</w:t>
      </w:r>
    </w:p>
    <w:p w14:paraId="7571D398">
      <w:pPr>
        <w:pStyle w:val="42"/>
        <w:widowControl w:val="0"/>
        <w:spacing w:before="0" w:beforeLines="0" w:after="0" w:afterLines="0" w:line="560" w:lineRule="exact"/>
        <w:ind w:firstLine="640" w:firstLineChars="200"/>
        <w:rPr>
          <w:rFonts w:hint="eastAsia" w:hAnsi="黑体" w:cs="黑体"/>
          <w:sz w:val="32"/>
          <w:szCs w:val="32"/>
        </w:rPr>
      </w:pPr>
      <w:bookmarkStart w:id="397" w:name="_Toc171693132"/>
      <w:r>
        <w:rPr>
          <w:rFonts w:hint="eastAsia" w:hAnsi="黑体" w:cs="黑体"/>
          <w:sz w:val="32"/>
          <w:szCs w:val="32"/>
        </w:rPr>
        <w:t>12成交溢价分配</w:t>
      </w:r>
      <w:bookmarkEnd w:id="397"/>
    </w:p>
    <w:p w14:paraId="4019121A">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98" w:name="_Toc171693133"/>
      <w:r>
        <w:rPr>
          <w:rFonts w:hint="eastAsia" w:ascii="楷体_GB2312" w:hAnsi="楷体_GB2312" w:eastAsia="楷体_GB2312" w:cs="楷体_GB2312"/>
          <w:sz w:val="32"/>
          <w:szCs w:val="32"/>
        </w:rPr>
        <w:t>12.1一般规定</w:t>
      </w:r>
      <w:bookmarkEnd w:id="398"/>
    </w:p>
    <w:p w14:paraId="62FBCD1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服务于组合供应的评估中，当资产包由不同门类的自然资源构成，且所有权（或代理行使所有权）主体不同，或政策规定的出让收益分配规则不同时，可进行成交溢价分配测算；其他情形下，如需对成交溢价在不同资源或不同权利间进行分配，可参照本文件规定；</w:t>
      </w:r>
    </w:p>
    <w:p w14:paraId="37085A5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b)成交溢价宜主要根据资产包内各类自然资源的市场价值比例进行分配，不同门类自然资源市场的竞争热度存在显著差异时，可兼顾不同资源市场竞争热度的影响； </w:t>
      </w:r>
    </w:p>
    <w:p w14:paraId="100093E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c)某类资源资产在社会经济运行或生态环境保护中存在特殊重要性，且难以在其市场价值、市场竞争热度中体现时，可在依前述思路形成的测算结果上增加重要性修正。</w:t>
      </w:r>
    </w:p>
    <w:p w14:paraId="06D8305E">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99" w:name="_Toc171693134"/>
      <w:r>
        <w:rPr>
          <w:rFonts w:hint="eastAsia" w:ascii="楷体_GB2312" w:hAnsi="楷体_GB2312" w:eastAsia="楷体_GB2312" w:cs="楷体_GB2312"/>
          <w:sz w:val="32"/>
          <w:szCs w:val="32"/>
        </w:rPr>
        <w:t>12.2按市场价值比例分配</w:t>
      </w:r>
      <w:bookmarkEnd w:id="399"/>
    </w:p>
    <w:p w14:paraId="2763DA2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该方法以资产包内各类自然资源的客观市场价值为基础，适用于各类型资产包供应中的成交溢价分配，测算过程如下：</w:t>
      </w:r>
    </w:p>
    <w:p w14:paraId="7B361713">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a)依据资源价值比例分配的基本公式:</w:t>
      </w:r>
    </w:p>
    <w:p w14:paraId="66AF840B">
      <w:pPr>
        <w:pStyle w:val="55"/>
        <w:spacing w:line="560" w:lineRule="exact"/>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 xml:space="preserve">        P</w:t>
      </w:r>
      <w:r>
        <w:rPr>
          <w:rFonts w:hint="eastAsia" w:ascii="DejaVu Math TeX Gyre" w:hAnsi="DejaVu Math TeX Gyre" w:eastAsia="FangSong_GB2312" w:cs="FangSong_GB2312"/>
          <w:sz w:val="32"/>
          <w:szCs w:val="32"/>
          <w:vertAlign w:val="subscript"/>
        </w:rPr>
        <w:t>i</w:t>
      </w:r>
      <w:r>
        <w:rPr>
          <w:rFonts w:hint="eastAsia" w:ascii="DejaVu Math TeX Gyre" w:hAnsi="DejaVu Math TeX Gyre" w:eastAsia="FangSong_GB2312" w:cs="FangSong_GB2312"/>
          <w:sz w:val="32"/>
          <w:szCs w:val="32"/>
        </w:rPr>
        <w:t>=∆P</w:t>
      </w:r>
      <w:r>
        <w:rPr>
          <w:rFonts w:hint="eastAsia" w:ascii="DejaVu Math TeX Gyre" w:hAnsi="DejaVu Math TeX Gyre" w:eastAsia="FangSong_GB2312" w:cs="FangSong_GB2312"/>
          <w:sz w:val="32"/>
          <w:szCs w:val="32"/>
          <w:vertAlign w:val="subscript"/>
        </w:rPr>
        <w:t>z</w:t>
      </w:r>
      <w:r>
        <w:rPr>
          <w:rFonts w:hint="eastAsia" w:ascii="DejaVu Math TeX Gyre" w:hAnsi="DejaVu Math TeX Gyre" w:eastAsia="FangSong_GB2312" w:cs="FangSong_GB2312"/>
          <w:sz w:val="32"/>
          <w:szCs w:val="32"/>
        </w:rPr>
        <w:t>×Y</w:t>
      </w:r>
      <w:r>
        <w:rPr>
          <w:rFonts w:hint="eastAsia" w:ascii="DejaVu Math TeX Gyre" w:hAnsi="DejaVu Math TeX Gyre" w:eastAsia="FangSong_GB2312" w:cs="FangSong_GB2312"/>
          <w:sz w:val="32"/>
          <w:szCs w:val="32"/>
          <w:vertAlign w:val="subscript"/>
        </w:rPr>
        <w:t>i</w:t>
      </w:r>
      <w:r>
        <w:rPr>
          <w:rFonts w:ascii="DejaVu Math TeX Gyre" w:hAnsi="DejaVu Math TeX Gyre" w:eastAsia="FangSong_GB2312" w:cs="FangSong_GB2312"/>
          <w:sz w:val="32"/>
          <w:szCs w:val="32"/>
        </w:rPr>
        <w:t xml:space="preserve">     </w:t>
      </w:r>
      <w:r>
        <w:rPr>
          <w:rFonts w:hint="eastAsia" w:ascii="FangSong_GB2312" w:hAnsi="FangSong_GB2312" w:eastAsia="FangSong_GB2312" w:cs="FangSong_GB2312"/>
          <w:sz w:val="32"/>
          <w:szCs w:val="32"/>
        </w:rPr>
        <w:t>……………………(5)</w:t>
      </w:r>
    </w:p>
    <w:p w14:paraId="5BA93E64">
      <w:pPr>
        <w:pStyle w:val="55"/>
        <w:spacing w:line="560" w:lineRule="exact"/>
        <w:jc w:val="center"/>
        <w:rPr>
          <w:rFonts w:hint="eastAsia" w:ascii="FangSong_GB2312" w:hAnsi="FangSong_GB2312" w:eastAsia="FangSong_GB2312" w:cs="FangSong_GB2312"/>
          <w:sz w:val="32"/>
          <w:szCs w:val="32"/>
        </w:rPr>
      </w:pPr>
      <w:r>
        <w:drawing>
          <wp:anchor distT="0" distB="0" distL="114300" distR="114300" simplePos="0" relativeHeight="251663360" behindDoc="0" locked="0" layoutInCell="1" allowOverlap="1">
            <wp:simplePos x="0" y="0"/>
            <wp:positionH relativeFrom="column">
              <wp:posOffset>738505</wp:posOffset>
            </wp:positionH>
            <wp:positionV relativeFrom="paragraph">
              <wp:posOffset>59055</wp:posOffset>
            </wp:positionV>
            <wp:extent cx="1647825" cy="638175"/>
            <wp:effectExtent l="0" t="0" r="9525" b="9525"/>
            <wp:wrapNone/>
            <wp:docPr id="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0"/>
                    <pic:cNvPicPr>
                      <a:picLocks noChangeAspect="1"/>
                    </pic:cNvPicPr>
                  </pic:nvPicPr>
                  <pic:blipFill>
                    <a:blip r:embed="rId10"/>
                    <a:stretch>
                      <a:fillRect/>
                    </a:stretch>
                  </pic:blipFill>
                  <pic:spPr>
                    <a:xfrm>
                      <a:off x="0" y="0"/>
                      <a:ext cx="1647825" cy="638175"/>
                    </a:xfrm>
                    <a:prstGeom prst="rect">
                      <a:avLst/>
                    </a:prstGeom>
                    <a:noFill/>
                    <a:ln>
                      <a:noFill/>
                    </a:ln>
                  </pic:spPr>
                </pic:pic>
              </a:graphicData>
            </a:graphic>
          </wp:anchor>
        </w:drawing>
      </w:r>
      <w:r>
        <w:t xml:space="preserve">                  </w:t>
      </w:r>
      <w:r>
        <w:rPr>
          <w:rFonts w:hint="eastAsia" w:ascii="FangSong_GB2312" w:hAnsi="FangSong_GB2312" w:eastAsia="FangSong_GB2312" w:cs="FangSong_GB2312"/>
          <w:sz w:val="32"/>
          <w:szCs w:val="32"/>
        </w:rPr>
        <w:t>……………………(6)</w:t>
      </w:r>
    </w:p>
    <w:p w14:paraId="577AD5BC">
      <w:pPr>
        <w:pStyle w:val="55"/>
        <w:spacing w:line="560" w:lineRule="exact"/>
        <w:ind w:firstLine="4000" w:firstLineChars="1250"/>
        <w:rPr>
          <w:rFonts w:hint="eastAsia" w:ascii="FangSong_GB2312" w:hAnsi="FangSong_GB2312" w:eastAsia="FangSong_GB2312" w:cs="FangSong_GB2312"/>
          <w:sz w:val="32"/>
          <w:szCs w:val="32"/>
        </w:rPr>
      </w:pPr>
    </w:p>
    <w:p w14:paraId="5676FADE">
      <w:pPr>
        <w:pStyle w:val="55"/>
        <w:spacing w:line="560" w:lineRule="exact"/>
        <w:ind w:firstLine="2310" w:firstLineChars="1100"/>
        <w:rPr>
          <w:rFonts w:hint="eastAsia" w:ascii="FangSong_GB2312" w:hAnsi="FangSong_GB2312" w:eastAsia="FangSong_GB2312" w:cs="FangSong_GB2312"/>
          <w:sz w:val="32"/>
          <w:szCs w:val="32"/>
        </w:rPr>
      </w:pPr>
      <w:r>
        <w:drawing>
          <wp:anchor distT="0" distB="0" distL="114300" distR="114300" simplePos="0" relativeHeight="251664384" behindDoc="0" locked="0" layoutInCell="1" allowOverlap="1">
            <wp:simplePos x="0" y="0"/>
            <wp:positionH relativeFrom="column">
              <wp:posOffset>704850</wp:posOffset>
            </wp:positionH>
            <wp:positionV relativeFrom="paragraph">
              <wp:posOffset>132080</wp:posOffset>
            </wp:positionV>
            <wp:extent cx="1695450" cy="266700"/>
            <wp:effectExtent l="0" t="0" r="0" b="0"/>
            <wp:wrapNone/>
            <wp:docPr id="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pic:cNvPicPr>
                      <a:picLocks noChangeAspect="1"/>
                    </pic:cNvPicPr>
                  </pic:nvPicPr>
                  <pic:blipFill>
                    <a:blip r:embed="rId11"/>
                    <a:stretch>
                      <a:fillRect/>
                    </a:stretch>
                  </pic:blipFill>
                  <pic:spPr>
                    <a:xfrm>
                      <a:off x="0" y="0"/>
                      <a:ext cx="1695450" cy="266700"/>
                    </a:xfrm>
                    <a:prstGeom prst="rect">
                      <a:avLst/>
                    </a:prstGeom>
                    <a:noFill/>
                    <a:ln>
                      <a:noFill/>
                    </a:ln>
                  </pic:spPr>
                </pic:pic>
              </a:graphicData>
            </a:graphic>
          </wp:anchor>
        </w:drawing>
      </w:r>
      <w:r>
        <w:rPr>
          <w:rFonts w:ascii="FangSong_GB2312" w:hAnsi="FangSong_GB2312" w:eastAsia="FangSong_GB2312" w:cs="FangSong_GB2312"/>
          <w:sz w:val="32"/>
          <w:szCs w:val="32"/>
        </w:rPr>
        <w:t xml:space="preserve">         </w:t>
      </w:r>
      <w:r>
        <w:rPr>
          <w:rFonts w:hint="eastAsia" w:ascii="FangSong_GB2312" w:hAnsi="FangSong_GB2312" w:eastAsia="FangSong_GB2312" w:cs="FangSong_GB2312"/>
          <w:sz w:val="32"/>
          <w:szCs w:val="32"/>
        </w:rPr>
        <w:t>……………………(7)</w:t>
      </w:r>
    </w:p>
    <w:p w14:paraId="047D8F87">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ascii="FangSong_GB2312" w:hAnsi="FangSong_GB2312" w:eastAsia="FangSong_GB2312" w:cs="FangSong_GB2312"/>
          <w:sz w:val="32"/>
          <w:szCs w:val="32"/>
        </w:rPr>
        <w:t>式中：</w:t>
      </w:r>
      <w:r>
        <w:rPr>
          <w:rFonts w:ascii="DejaVu Math TeX Gyre" w:hAnsi="DejaVu Math TeX Gyre" w:eastAsia="FangSong_GB2312" w:cs="FangSong_GB2312"/>
          <w:sz w:val="32"/>
          <w:szCs w:val="32"/>
        </w:rPr>
        <w:br w:type="textWrapping"/>
      </w:r>
      <w:r>
        <w:rPr>
          <w:rFonts w:ascii="DejaVu Math TeX Gyre" w:hAnsi="DejaVu Math TeX Gyre" w:eastAsia="FangSong_GB2312" w:cs="FangSong_GB2312"/>
          <w:sz w:val="32"/>
          <w:szCs w:val="32"/>
        </w:rPr>
        <w:t>P</w:t>
      </w:r>
      <w:r>
        <w:rPr>
          <w:rFonts w:ascii="DejaVu Math TeX Gyre" w:hAnsi="DejaVu Math TeX Gyre" w:eastAsia="FangSong_GB2312" w:cs="FangSong_GB2312"/>
          <w:snapToGrid/>
          <w:color w:val="auto"/>
          <w:sz w:val="32"/>
          <w:szCs w:val="32"/>
          <w:vertAlign w:val="subscript"/>
        </w:rPr>
        <w:t>i</w:t>
      </w:r>
      <w:r>
        <w:rPr>
          <w:rFonts w:ascii="DejaVu Math TeX Gyre" w:hAnsi="DejaVu Math TeX Gyre" w:eastAsia="FangSong_GB2312" w:cs="FangSong_GB2312"/>
          <w:sz w:val="32"/>
          <w:szCs w:val="32"/>
        </w:rPr>
        <w:t>——i类资源通过分配所得的成交溢价额；</w:t>
      </w:r>
    </w:p>
    <w:p w14:paraId="625A9F62">
      <w:pPr>
        <w:pStyle w:val="36"/>
        <w:spacing w:line="560" w:lineRule="exact"/>
        <w:ind w:left="1280" w:leftChars="400" w:firstLine="0" w:firstLineChars="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∆P</w:t>
      </w:r>
      <w:r>
        <w:rPr>
          <w:rFonts w:ascii="DejaVu Math TeX Gyre" w:hAnsi="DejaVu Math TeX Gyre" w:eastAsia="FangSong_GB2312" w:cs="FangSong_GB2312"/>
          <w:snapToGrid/>
          <w:color w:val="auto"/>
          <w:sz w:val="32"/>
          <w:szCs w:val="32"/>
          <w:vertAlign w:val="subscript"/>
        </w:rPr>
        <w:t>z</w:t>
      </w:r>
      <w:r>
        <w:rPr>
          <w:rFonts w:ascii="FangSong_GB2312" w:hAnsi="FangSong_GB2312" w:eastAsia="FangSong_GB2312" w:cs="FangSong_GB2312"/>
          <w:sz w:val="32"/>
          <w:szCs w:val="32"/>
        </w:rPr>
        <w:t>——该资产包的总成交溢价额；</w:t>
      </w:r>
    </w:p>
    <w:p w14:paraId="57D3EC4D">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Y</w:t>
      </w:r>
      <w:r>
        <w:rPr>
          <w:rFonts w:ascii="DejaVu Math TeX Gyre" w:hAnsi="DejaVu Math TeX Gyre" w:eastAsia="FangSong_GB2312" w:cs="FangSong_GB2312"/>
          <w:snapToGrid/>
          <w:color w:val="auto"/>
          <w:sz w:val="32"/>
          <w:szCs w:val="32"/>
          <w:vertAlign w:val="subscript"/>
        </w:rPr>
        <w:t>i</w:t>
      </w:r>
      <w:r>
        <w:rPr>
          <w:rFonts w:ascii="DejaVu Math TeX Gyre" w:hAnsi="DejaVu Math TeX Gyre" w:eastAsia="FangSong_GB2312" w:cs="FangSong_GB2312"/>
          <w:sz w:val="32"/>
          <w:szCs w:val="32"/>
        </w:rPr>
        <w:t>——i类资源的成交溢价分配系数；</w:t>
      </w:r>
      <w:r>
        <w:rPr>
          <w:rFonts w:ascii="FangSong_GB2312" w:hAnsi="FangSong_GB2312" w:eastAsia="FangSong_GB2312" w:cs="FangSong_GB2312"/>
          <w:sz w:val="32"/>
          <w:szCs w:val="32"/>
        </w:rPr>
        <w:t xml:space="preserve"> </w:t>
      </w:r>
    </w:p>
    <w:p w14:paraId="1B650678">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Vi</w:t>
      </w:r>
      <w:r>
        <w:rPr>
          <w:rFonts w:ascii="FangSong_GB2312" w:hAnsi="FangSong_GB2312" w:eastAsia="FangSong_GB2312" w:cs="FangSong_GB2312"/>
          <w:sz w:val="32"/>
          <w:szCs w:val="32"/>
        </w:rPr>
        <w:t>——i类资源经评估确定的市场价值；</w:t>
      </w:r>
    </w:p>
    <w:p w14:paraId="1B1D0D8D">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hint="default" w:ascii="FangSong_GB2312" w:hAnsi="FangSong_GB2312" w:eastAsia="FangSong_GB2312" w:cs="FangSong_GB2312"/>
          <w:b/>
          <w:bCs/>
          <w:sz w:val="32"/>
          <w:szCs w:val="32"/>
        </w:rPr>
        <w:t>n</w:t>
      </w:r>
      <w:r>
        <w:rPr>
          <w:rFonts w:ascii="FangSong_GB2312" w:hAnsi="FangSong_GB2312" w:eastAsia="FangSong_GB2312" w:cs="FangSong_GB2312"/>
          <w:sz w:val="32"/>
          <w:szCs w:val="32"/>
        </w:rPr>
        <w:t>——资产包内的资源门类总数；</w:t>
      </w:r>
    </w:p>
    <w:p w14:paraId="27F40287">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P</w:t>
      </w:r>
      <w:r>
        <w:rPr>
          <w:rFonts w:ascii="DejaVu Math TeX Gyre" w:hAnsi="DejaVu Math TeX Gyre" w:eastAsia="FangSong_GB2312" w:cs="FangSong_GB2312"/>
          <w:snapToGrid/>
          <w:color w:val="auto"/>
          <w:sz w:val="32"/>
          <w:szCs w:val="32"/>
          <w:vertAlign w:val="subscript"/>
        </w:rPr>
        <w:t>z</w:t>
      </w:r>
      <w:r>
        <w:rPr>
          <w:rFonts w:ascii="FangSong_GB2312" w:hAnsi="FangSong_GB2312" w:eastAsia="FangSong_GB2312" w:cs="FangSong_GB2312"/>
          <w:sz w:val="32"/>
          <w:szCs w:val="32"/>
        </w:rPr>
        <w:t>——该资产包供应中起始价总值（或底价总值）；</w:t>
      </w:r>
    </w:p>
    <w:p w14:paraId="048C5DD3">
      <w:pPr>
        <w:pStyle w:val="36"/>
        <w:spacing w:line="560" w:lineRule="exact"/>
        <w:ind w:firstLine="1280" w:firstLineChars="40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P</w:t>
      </w:r>
      <w:r>
        <w:rPr>
          <w:rFonts w:hint="default" w:ascii="DejaVu Math TeX Gyre" w:hAnsi="DejaVu Math TeX Gyre" w:eastAsia="FangSong_GB2312" w:cs="FangSong_GB2312"/>
          <w:sz w:val="32"/>
          <w:szCs w:val="32"/>
        </w:rPr>
        <w:t>’</w:t>
      </w:r>
      <w:r>
        <w:rPr>
          <w:rFonts w:ascii="DejaVu Math TeX Gyre" w:hAnsi="DejaVu Math TeX Gyre" w:eastAsia="FangSong_GB2312" w:cs="FangSong_GB2312"/>
          <w:snapToGrid/>
          <w:color w:val="auto"/>
          <w:sz w:val="32"/>
          <w:szCs w:val="32"/>
          <w:vertAlign w:val="subscript"/>
        </w:rPr>
        <w:t>z</w:t>
      </w:r>
      <w:r>
        <w:rPr>
          <w:rFonts w:ascii="FangSong_GB2312" w:hAnsi="FangSong_GB2312" w:eastAsia="FangSong_GB2312" w:cs="FangSong_GB2312"/>
          <w:sz w:val="32"/>
          <w:szCs w:val="32"/>
        </w:rPr>
        <w:t>——该资产包的成交总价。</w:t>
      </w:r>
    </w:p>
    <w:p w14:paraId="7834DBD5">
      <w:pPr>
        <w:pStyle w:val="50"/>
        <w:numPr>
          <w:ilvl w:val="0"/>
          <w:numId w:val="0"/>
        </w:numPr>
        <w:spacing w:line="560" w:lineRule="exact"/>
        <w:ind w:firstLine="640" w:firstLineChars="200"/>
        <w:jc w:val="left"/>
        <w:rPr>
          <w:rFonts w:hint="eastAsia" w:ascii="FangSong_GB2312" w:hAnsi="FangSong_GB2312" w:eastAsia="FangSong_GB2312" w:cs="FangSong_GB2312"/>
          <w:i/>
          <w:sz w:val="32"/>
          <w:szCs w:val="32"/>
        </w:rPr>
      </w:pPr>
      <w:r>
        <w:rPr>
          <w:rFonts w:hint="eastAsia" w:ascii="FangSong_GB2312" w:hAnsi="FangSong_GB2312" w:eastAsia="FangSong_GB2312" w:cs="FangSong_GB2312"/>
          <w:sz w:val="32"/>
          <w:szCs w:val="32"/>
        </w:rPr>
        <w:t>b)评估确定各类资源的市场价值时，可以政府公示价为基础，经过必要的修正测算得到，也可通过其他符合技术准则的评估方法测算得到。</w:t>
      </w:r>
    </w:p>
    <w:p w14:paraId="512B8029">
      <w:pPr>
        <w:pStyle w:val="43"/>
        <w:spacing w:before="0" w:beforeLines="0" w:after="0" w:afterLines="0" w:line="560" w:lineRule="exact"/>
        <w:ind w:left="0" w:firstLine="640" w:firstLineChars="200"/>
        <w:jc w:val="left"/>
        <w:rPr>
          <w:rFonts w:hint="eastAsia" w:ascii="楷体_GB2312" w:hAnsi="楷体_GB2312" w:eastAsia="楷体_GB2312" w:cs="楷体_GB2312"/>
          <w:sz w:val="32"/>
          <w:szCs w:val="32"/>
        </w:rPr>
      </w:pPr>
      <w:bookmarkStart w:id="400" w:name="_Toc171693135"/>
      <w:r>
        <w:rPr>
          <w:rFonts w:hint="eastAsia" w:ascii="楷体_GB2312" w:hAnsi="楷体_GB2312" w:eastAsia="楷体_GB2312" w:cs="楷体_GB2312"/>
          <w:sz w:val="32"/>
          <w:szCs w:val="32"/>
        </w:rPr>
        <w:t>12.3按市场价值比例+竞价热度分配</w:t>
      </w:r>
      <w:bookmarkEnd w:id="400"/>
    </w:p>
    <w:p w14:paraId="0A194F7A">
      <w:pPr>
        <w:pStyle w:val="36"/>
        <w:spacing w:line="560" w:lineRule="exact"/>
        <w:ind w:firstLine="640"/>
        <w:jc w:val="left"/>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该方法以12.2方法为基础，根据市场竞争热度对前述方法测算所得成交溢价率分配系数进一步修正；该方法适用于不同资源的市场竞争热度差异显著的资产包供应中的成交溢价分配，测算过程如下。</w:t>
      </w:r>
    </w:p>
    <w:p w14:paraId="6477276A">
      <w:pPr>
        <w:pStyle w:val="50"/>
        <w:numPr>
          <w:ilvl w:val="0"/>
          <w:numId w:val="0"/>
        </w:numPr>
        <w:spacing w:line="560" w:lineRule="exact"/>
        <w:ind w:firstLine="640" w:firstLineChars="200"/>
        <w:jc w:val="lef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a)分别统计不同资源近期在供应市场上的成交溢价率平均值；统计时期不宜超过近三年，可根据当地资源市场上相关政策的变化而适当调整。</w:t>
      </w:r>
    </w:p>
    <w:p w14:paraId="2001DD77">
      <w:pPr>
        <w:pStyle w:val="50"/>
        <w:numPr>
          <w:ilvl w:val="0"/>
          <w:numId w:val="0"/>
        </w:numPr>
        <w:spacing w:line="560" w:lineRule="exact"/>
        <w:ind w:firstLine="640" w:firstLineChars="200"/>
        <w:jc w:val="lef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b)测算不同类资源成交溢价率平均值的倍数值。</w:t>
      </w:r>
    </w:p>
    <w:p w14:paraId="3B3DF72A">
      <w:pPr>
        <w:pStyle w:val="36"/>
        <w:spacing w:line="560" w:lineRule="exact"/>
        <w:ind w:firstLine="1280" w:firstLineChars="40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a</w:t>
      </w: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b</w:t>
      </w:r>
      <w:r>
        <w:rPr>
          <w:rFonts w:hint="default" w:ascii="FangSong_GB2312" w:hAnsi="FangSong_GB2312" w:eastAsia="FangSong_GB2312" w:cs="FangSong_GB2312"/>
          <w:color w:val="auto"/>
          <w:sz w:val="32"/>
          <w:szCs w:val="32"/>
          <w:vertAlign w:val="subscript"/>
        </w:rPr>
        <w:t xml:space="preserve">  </w:t>
      </w:r>
      <w:r>
        <w:rPr>
          <w:rFonts w:ascii="FangSong_GB2312" w:hAnsi="FangSong_GB2312" w:eastAsia="FangSong_GB2312" w:cs="FangSong_GB2312"/>
          <w:sz w:val="32"/>
          <w:szCs w:val="32"/>
        </w:rPr>
        <w:t>……………………(8)</w:t>
      </w:r>
    </w:p>
    <w:p w14:paraId="016EDD28">
      <w:pPr>
        <w:pStyle w:val="36"/>
        <w:spacing w:line="560" w:lineRule="exact"/>
        <w:ind w:firstLine="64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式中：R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—a类资源平均溢价率与b类资源平均溢价率的</w:t>
      </w:r>
    </w:p>
    <w:p w14:paraId="0E253C67">
      <w:pPr>
        <w:pStyle w:val="36"/>
        <w:spacing w:line="560" w:lineRule="exact"/>
        <w:ind w:firstLine="64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 xml:space="preserve">      倍数值，以溢价率高者作为分子（M</w:t>
      </w:r>
      <w:r>
        <w:rPr>
          <w:rFonts w:ascii="FangSong_GB2312" w:hAnsi="FangSong_GB2312" w:eastAsia="FangSong_GB2312" w:cs="FangSong_GB2312"/>
          <w:color w:val="auto"/>
          <w:sz w:val="32"/>
          <w:szCs w:val="32"/>
          <w:vertAlign w:val="subscript"/>
        </w:rPr>
        <w:t>a</w:t>
      </w:r>
      <w:r>
        <w:rPr>
          <w:rFonts w:ascii="FangSong_GB2312" w:hAnsi="FangSong_GB2312" w:eastAsia="FangSong_GB2312" w:cs="FangSong_GB2312"/>
          <w:color w:val="auto"/>
          <w:sz w:val="32"/>
          <w:szCs w:val="32"/>
        </w:rPr>
        <w:t>）；</w:t>
      </w:r>
    </w:p>
    <w:p w14:paraId="00578C43">
      <w:pPr>
        <w:pStyle w:val="36"/>
        <w:spacing w:line="560" w:lineRule="exact"/>
        <w:ind w:firstLine="1600" w:firstLineChars="50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a</w:t>
      </w: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b</w:t>
      </w:r>
      <w:r>
        <w:rPr>
          <w:rFonts w:ascii="FangSong_GB2312" w:hAnsi="FangSong_GB2312" w:eastAsia="FangSong_GB2312" w:cs="FangSong_GB2312"/>
          <w:color w:val="auto"/>
          <w:sz w:val="32"/>
          <w:szCs w:val="32"/>
        </w:rPr>
        <w:t>—a类、b类资源平均溢价率的统计值，</w:t>
      </w:r>
    </w:p>
    <w:p w14:paraId="20327B37">
      <w:pPr>
        <w:pStyle w:val="36"/>
        <w:spacing w:line="560" w:lineRule="exact"/>
        <w:ind w:firstLine="1600" w:firstLineChars="50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单次交易的溢价率（M）为成交价与交易起始价之</w:t>
      </w:r>
    </w:p>
    <w:p w14:paraId="6997C9EB">
      <w:pPr>
        <w:pStyle w:val="36"/>
        <w:spacing w:line="560" w:lineRule="exact"/>
        <w:ind w:firstLine="1600" w:firstLineChars="50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差值与交易起始价之比；</w:t>
      </w:r>
    </w:p>
    <w:p w14:paraId="16C3CBCF">
      <w:pPr>
        <w:pStyle w:val="36"/>
        <w:spacing w:line="560" w:lineRule="exact"/>
        <w:ind w:firstLine="64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若M</w:t>
      </w:r>
      <w:r>
        <w:rPr>
          <w:rFonts w:ascii="FangSong_GB2312" w:hAnsi="FangSong_GB2312" w:eastAsia="FangSong_GB2312" w:cs="FangSong_GB2312"/>
          <w:color w:val="auto"/>
          <w:sz w:val="32"/>
          <w:szCs w:val="32"/>
          <w:vertAlign w:val="subscript"/>
        </w:rPr>
        <w:t>b</w:t>
      </w:r>
      <w:r>
        <w:rPr>
          <w:rFonts w:ascii="FangSong_GB2312" w:hAnsi="FangSong_GB2312" w:eastAsia="FangSong_GB2312" w:cs="FangSong_GB2312"/>
          <w:color w:val="auto"/>
          <w:sz w:val="32"/>
          <w:szCs w:val="32"/>
        </w:rPr>
        <w:t>≤1时，R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a</w:t>
      </w:r>
      <w:r>
        <w:rPr>
          <w:rFonts w:ascii="FangSong_GB2312" w:hAnsi="FangSong_GB2312" w:eastAsia="FangSong_GB2312" w:cs="FangSong_GB2312"/>
          <w:snapToGrid/>
          <w:color w:val="auto"/>
          <w:sz w:val="32"/>
          <w:szCs w:val="32"/>
        </w:rPr>
        <w:t>。</w:t>
      </w:r>
    </w:p>
    <w:p w14:paraId="1A0C54C0">
      <w:pPr>
        <w:pStyle w:val="36"/>
        <w:spacing w:line="560" w:lineRule="exact"/>
        <w:ind w:firstLine="640"/>
        <w:jc w:val="left"/>
        <w:rPr>
          <w:rFonts w:ascii="FangSong_GB2312" w:hAnsi="FangSong_GB2312" w:eastAsia="FangSong_GB2312" w:cs="FangSong_GB2312"/>
          <w:snapToGrid/>
          <w:color w:val="auto"/>
          <w:sz w:val="32"/>
          <w:szCs w:val="32"/>
        </w:rPr>
      </w:pPr>
      <w:r>
        <w:rPr>
          <w:rFonts w:ascii="FangSong_GB2312" w:hAnsi="FangSong_GB2312" w:eastAsia="FangSong_GB2312" w:cs="FangSong_GB2312"/>
          <w:sz w:val="32"/>
          <w:szCs w:val="32"/>
        </w:rPr>
        <w:t>c)</w:t>
      </w:r>
      <w:r>
        <w:rPr>
          <w:rFonts w:ascii="FangSong_GB2312" w:hAnsi="FangSong_GB2312" w:eastAsia="FangSong_GB2312" w:cs="FangSong_GB2312"/>
          <w:color w:val="auto"/>
          <w:sz w:val="32"/>
          <w:szCs w:val="32"/>
        </w:rPr>
        <w:t>根据R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snapToGrid/>
          <w:color w:val="auto"/>
          <w:sz w:val="32"/>
          <w:szCs w:val="32"/>
        </w:rPr>
        <w:t>值大小，测算修正值，对溢价率较低类资源的成交溢价分配系数</w:t>
      </w:r>
      <w:r>
        <w:rPr>
          <w:rFonts w:ascii="DejaVu Math TeX Gyre" w:hAnsi="DejaVu Math TeX Gyre" w:eastAsia="FangSong_GB2312" w:cs="FangSong_GB2312"/>
          <w:snapToGrid/>
          <w:color w:val="auto"/>
          <w:sz w:val="32"/>
          <w:szCs w:val="32"/>
        </w:rPr>
        <w:t>（</w:t>
      </w:r>
      <w:r>
        <w:rPr>
          <w:rFonts w:ascii="DejaVu Math TeX Gyre" w:hAnsi="DejaVu Math TeX Gyre" w:eastAsia="FangSong_GB2312" w:cs="FangSong_GB2312"/>
          <w:color w:val="auto"/>
          <w:sz w:val="32"/>
          <w:szCs w:val="32"/>
        </w:rPr>
        <w:t>Y</w:t>
      </w:r>
      <w:r>
        <w:rPr>
          <w:rFonts w:ascii="DejaVu Math TeX Gyre" w:hAnsi="DejaVu Math TeX Gyre" w:eastAsia="FangSong_GB2312" w:cs="FangSong_GB2312"/>
          <w:sz w:val="32"/>
          <w:szCs w:val="32"/>
          <w:vertAlign w:val="subscript"/>
        </w:rPr>
        <w:t>i</w:t>
      </w:r>
      <w:r>
        <w:rPr>
          <w:rFonts w:ascii="FangSong_GB2312" w:hAnsi="FangSong_GB2312" w:eastAsia="FangSong_GB2312" w:cs="FangSong_GB2312"/>
          <w:color w:val="auto"/>
          <w:sz w:val="32"/>
          <w:szCs w:val="32"/>
        </w:rPr>
        <w:t>，</w:t>
      </w:r>
      <w:r>
        <w:rPr>
          <w:rFonts w:ascii="FangSong_GB2312" w:hAnsi="FangSong_GB2312" w:eastAsia="FangSong_GB2312" w:cs="FangSong_GB2312"/>
          <w:snapToGrid/>
          <w:color w:val="auto"/>
          <w:sz w:val="32"/>
          <w:szCs w:val="32"/>
        </w:rPr>
        <w:t>依据公式（6）测算所得）进行修正；修正值的变化幅度与规律，可根据当地市场情况自行分析确定。</w:t>
      </w:r>
    </w:p>
    <w:p w14:paraId="60AC6EEA">
      <w:pPr>
        <w:pStyle w:val="36"/>
        <w:spacing w:line="560" w:lineRule="exact"/>
        <w:ind w:left="851" w:firstLine="0" w:firstLineChars="0"/>
        <w:jc w:val="left"/>
        <w:rPr>
          <w:rFonts w:ascii="FangSong_GB2312" w:hAnsi="FangSong_GB2312" w:eastAsia="FangSong_GB2312" w:cs="FangSong_GB2312"/>
          <w:color w:val="auto"/>
          <w:sz w:val="32"/>
          <w:szCs w:val="32"/>
        </w:rPr>
      </w:pPr>
      <w:r>
        <w:rPr>
          <w:rFonts w:ascii="FangSong_GB2312" w:hAnsi="FangSong_GB2312" w:eastAsia="FangSong_GB2312" w:cs="FangSong_GB2312"/>
          <w:bCs/>
          <w:snapToGrid/>
          <w:color w:val="auto"/>
          <w:sz w:val="32"/>
          <w:szCs w:val="32"/>
        </w:rPr>
        <w:t>示例：</w:t>
      </w:r>
      <w:r>
        <w:rPr>
          <w:rFonts w:ascii="FangSong_GB2312" w:hAnsi="FangSong_GB2312" w:eastAsia="FangSong_GB2312" w:cs="FangSong_GB2312"/>
          <w:snapToGrid/>
          <w:color w:val="auto"/>
          <w:sz w:val="32"/>
          <w:szCs w:val="32"/>
        </w:rPr>
        <w:t>若</w:t>
      </w:r>
      <w:r>
        <w:rPr>
          <w:rFonts w:ascii="FangSong_GB2312" w:hAnsi="FangSong_GB2312" w:eastAsia="FangSong_GB2312" w:cs="FangSong_GB2312"/>
          <w:color w:val="auto"/>
          <w:sz w:val="32"/>
          <w:szCs w:val="32"/>
        </w:rPr>
        <w: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=300，即a类资源平均溢价率显著高于b类资</w:t>
      </w:r>
    </w:p>
    <w:p w14:paraId="39F1DCD5">
      <w:pPr>
        <w:pStyle w:val="36"/>
        <w:spacing w:line="560" w:lineRule="exact"/>
        <w:ind w:left="851" w:firstLine="0" w:firstLineChars="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 xml:space="preserve">      源，是b类资源平均溢价率的300倍，则需对溢价</w:t>
      </w:r>
    </w:p>
    <w:p w14:paraId="09B62837">
      <w:pPr>
        <w:pStyle w:val="36"/>
        <w:spacing w:line="560" w:lineRule="exact"/>
        <w:ind w:left="851" w:firstLine="0" w:firstLineChars="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 xml:space="preserve">      率较低的b类资源的成交溢价分配系数</w:t>
      </w:r>
      <w:r>
        <w:rPr>
          <w:rFonts w:ascii="DejaVu Math TeX Gyre" w:hAnsi="DejaVu Math TeX Gyre" w:eastAsia="FangSong_GB2312" w:cs="FangSong_GB2312"/>
          <w:snapToGrid/>
          <w:color w:val="auto"/>
          <w:sz w:val="32"/>
          <w:szCs w:val="32"/>
        </w:rPr>
        <w:t>（</w:t>
      </w:r>
      <w:r>
        <w:rPr>
          <w:rFonts w:ascii="DejaVu Math TeX Gyre" w:hAnsi="DejaVu Math TeX Gyre" w:eastAsia="FangSong_GB2312" w:cs="FangSong_GB2312"/>
          <w:color w:val="auto"/>
          <w:sz w:val="32"/>
          <w:szCs w:val="32"/>
        </w:rPr>
        <w:t>Y</w:t>
      </w:r>
      <w:r>
        <w:rPr>
          <w:rFonts w:ascii="DejaVu Math TeX Gyre" w:hAnsi="DejaVu Math TeX Gyre" w:eastAsia="FangSong_GB2312" w:cs="FangSong_GB2312"/>
          <w:sz w:val="32"/>
          <w:szCs w:val="32"/>
          <w:vertAlign w:val="subscript"/>
        </w:rPr>
        <w:t>b</w:t>
      </w:r>
      <w:r>
        <w:rPr>
          <w:rFonts w:ascii="FangSong_GB2312" w:hAnsi="FangSong_GB2312" w:eastAsia="FangSong_GB2312" w:cs="FangSong_GB2312"/>
          <w:color w:val="auto"/>
          <w:sz w:val="32"/>
          <w:szCs w:val="32"/>
        </w:rPr>
        <w:t>）进</w:t>
      </w:r>
    </w:p>
    <w:p w14:paraId="4B0AA134">
      <w:pPr>
        <w:pStyle w:val="36"/>
        <w:spacing w:line="560" w:lineRule="exact"/>
        <w:ind w:left="851" w:firstLine="0" w:firstLineChars="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 xml:space="preserve">      行修正，经分析确定，修正值按下表取值。</w:t>
      </w:r>
    </w:p>
    <w:tbl>
      <w:tblPr>
        <w:tblStyle w:val="16"/>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354"/>
        <w:gridCol w:w="1279"/>
        <w:gridCol w:w="1264"/>
        <w:gridCol w:w="1387"/>
        <w:gridCol w:w="616"/>
        <w:gridCol w:w="1336"/>
      </w:tblGrid>
      <w:tr w14:paraId="22A7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shd w:val="clear" w:color="auto" w:fill="auto"/>
            <w:noWrap w:val="0"/>
            <w:vAlign w:val="center"/>
          </w:tcPr>
          <w:p w14:paraId="08C9B480">
            <w:pPr>
              <w:pStyle w:val="36"/>
              <w:spacing w:line="560" w:lineRule="exact"/>
              <w:ind w:firstLine="0" w:firstLineChars="0"/>
              <w:jc w:val="center"/>
              <w:rPr>
                <w:rFonts w:ascii="FangSong_GB2312" w:hAnsi="FangSong_GB2312" w:eastAsia="FangSong_GB2312" w:cs="FangSong_GB2312"/>
                <w:color w:val="auto"/>
                <w:sz w:val="30"/>
                <w:szCs w:val="30"/>
                <w:vertAlign w:val="subscript"/>
              </w:rPr>
            </w:pPr>
            <w:r>
              <w:rPr>
                <w:rFonts w:ascii="FangSong_GB2312" w:hAnsi="FangSong_GB2312" w:eastAsia="FangSong_GB2312" w:cs="FangSong_GB2312"/>
                <w:color w:val="auto"/>
                <w:sz w:val="30"/>
                <w:szCs w:val="30"/>
              </w:rPr>
              <w:t>R</w:t>
            </w:r>
            <w:r>
              <w:rPr>
                <w:rFonts w:ascii="FangSong_GB2312" w:hAnsi="FangSong_GB2312" w:eastAsia="FangSong_GB2312" w:cs="FangSong_GB2312"/>
                <w:color w:val="auto"/>
                <w:sz w:val="30"/>
                <w:szCs w:val="30"/>
                <w:vertAlign w:val="subscript"/>
              </w:rPr>
              <w:t>ab</w:t>
            </w:r>
          </w:p>
        </w:tc>
        <w:tc>
          <w:tcPr>
            <w:tcW w:w="1354" w:type="dxa"/>
            <w:shd w:val="clear" w:color="auto" w:fill="auto"/>
            <w:noWrap w:val="0"/>
            <w:vAlign w:val="center"/>
          </w:tcPr>
          <w:p w14:paraId="2BC089E8">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1≤R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≤200</w:t>
            </w:r>
          </w:p>
        </w:tc>
        <w:tc>
          <w:tcPr>
            <w:tcW w:w="1279" w:type="dxa"/>
            <w:shd w:val="clear" w:color="auto" w:fill="auto"/>
            <w:noWrap w:val="0"/>
            <w:vAlign w:val="center"/>
          </w:tcPr>
          <w:p w14:paraId="12A7A241">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rPr>
              <w:t>200&lt;R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≤400</w:t>
            </w:r>
          </w:p>
        </w:tc>
        <w:tc>
          <w:tcPr>
            <w:tcW w:w="1264" w:type="dxa"/>
            <w:shd w:val="clear" w:color="auto" w:fill="auto"/>
            <w:noWrap w:val="0"/>
            <w:vAlign w:val="center"/>
          </w:tcPr>
          <w:p w14:paraId="09CF1371">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rPr>
              <w:t>400&lt;R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≤600</w:t>
            </w:r>
          </w:p>
        </w:tc>
        <w:tc>
          <w:tcPr>
            <w:tcW w:w="1387" w:type="dxa"/>
            <w:shd w:val="clear" w:color="auto" w:fill="auto"/>
            <w:noWrap w:val="0"/>
            <w:vAlign w:val="center"/>
          </w:tcPr>
          <w:p w14:paraId="58222681">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rPr>
              <w:t>600&lt;R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≤800</w:t>
            </w:r>
          </w:p>
        </w:tc>
        <w:tc>
          <w:tcPr>
            <w:tcW w:w="616" w:type="dxa"/>
            <w:shd w:val="clear" w:color="auto" w:fill="auto"/>
            <w:noWrap w:val="0"/>
            <w:vAlign w:val="center"/>
          </w:tcPr>
          <w:p w14:paraId="71A35271">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vertAlign w:val="subscript"/>
              </w:rPr>
              <w:t>…….</w:t>
            </w:r>
          </w:p>
        </w:tc>
        <w:tc>
          <w:tcPr>
            <w:tcW w:w="1336" w:type="dxa"/>
            <w:shd w:val="clear" w:color="auto" w:fill="auto"/>
            <w:noWrap w:val="0"/>
            <w:vAlign w:val="center"/>
          </w:tcPr>
          <w:p w14:paraId="094E3FD0">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rPr>
              <w:t>1600&lt;R</w:t>
            </w:r>
            <w:r>
              <w:rPr>
                <w:rFonts w:ascii="FangSong_GB2312" w:hAnsi="FangSong_GB2312" w:eastAsia="FangSong_GB2312" w:cs="FangSong_GB2312"/>
                <w:color w:val="auto"/>
                <w:sz w:val="32"/>
                <w:szCs w:val="32"/>
                <w:vertAlign w:val="subscript"/>
              </w:rPr>
              <w:t>ab</w:t>
            </w:r>
          </w:p>
        </w:tc>
      </w:tr>
      <w:tr w14:paraId="2049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shd w:val="clear" w:color="auto" w:fill="auto"/>
            <w:noWrap w:val="0"/>
            <w:vAlign w:val="center"/>
          </w:tcPr>
          <w:p w14:paraId="13ED9915">
            <w:pPr>
              <w:pStyle w:val="36"/>
              <w:spacing w:line="560" w:lineRule="exact"/>
              <w:ind w:firstLine="0" w:firstLineChars="0"/>
              <w:jc w:val="center"/>
              <w:rPr>
                <w:rFonts w:ascii="FangSong_GB2312" w:hAnsi="FangSong_GB2312" w:eastAsia="FangSong_GB2312" w:cs="FangSong_GB2312"/>
                <w:color w:val="auto"/>
                <w:sz w:val="30"/>
                <w:szCs w:val="30"/>
                <w:vertAlign w:val="subscript"/>
              </w:rPr>
            </w:pPr>
            <w:r>
              <w:rPr>
                <w:rFonts w:ascii="FangSong_GB2312" w:hAnsi="FangSong_GB2312" w:eastAsia="FangSong_GB2312" w:cs="FangSong_GB2312"/>
                <w:color w:val="auto"/>
                <w:sz w:val="30"/>
                <w:szCs w:val="30"/>
              </w:rPr>
              <w:t>修正值</w:t>
            </w:r>
          </w:p>
        </w:tc>
        <w:tc>
          <w:tcPr>
            <w:tcW w:w="1354" w:type="dxa"/>
            <w:shd w:val="clear" w:color="auto" w:fill="auto"/>
            <w:noWrap w:val="0"/>
            <w:vAlign w:val="center"/>
          </w:tcPr>
          <w:p w14:paraId="4D269AC4">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0</w:t>
            </w:r>
          </w:p>
        </w:tc>
        <w:tc>
          <w:tcPr>
            <w:tcW w:w="1279" w:type="dxa"/>
            <w:shd w:val="clear" w:color="auto" w:fill="auto"/>
            <w:noWrap w:val="0"/>
            <w:vAlign w:val="center"/>
          </w:tcPr>
          <w:p w14:paraId="35AC5E02">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-10%</w:t>
            </w:r>
          </w:p>
        </w:tc>
        <w:tc>
          <w:tcPr>
            <w:tcW w:w="1264" w:type="dxa"/>
            <w:shd w:val="clear" w:color="auto" w:fill="auto"/>
            <w:noWrap w:val="0"/>
            <w:vAlign w:val="center"/>
          </w:tcPr>
          <w:p w14:paraId="01646D4A">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-20%</w:t>
            </w:r>
          </w:p>
        </w:tc>
        <w:tc>
          <w:tcPr>
            <w:tcW w:w="1387" w:type="dxa"/>
            <w:shd w:val="clear" w:color="auto" w:fill="auto"/>
            <w:noWrap w:val="0"/>
            <w:vAlign w:val="center"/>
          </w:tcPr>
          <w:p w14:paraId="66E9576A">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-30%</w:t>
            </w:r>
          </w:p>
        </w:tc>
        <w:tc>
          <w:tcPr>
            <w:tcW w:w="616" w:type="dxa"/>
            <w:shd w:val="clear" w:color="auto" w:fill="auto"/>
            <w:noWrap w:val="0"/>
            <w:vAlign w:val="center"/>
          </w:tcPr>
          <w:p w14:paraId="0DB0A33A">
            <w:pPr>
              <w:pStyle w:val="36"/>
              <w:spacing w:line="560" w:lineRule="exact"/>
              <w:ind w:firstLine="0" w:firstLineChars="0"/>
              <w:jc w:val="center"/>
              <w:rPr>
                <w:rFonts w:ascii="FangSong_GB2312" w:hAnsi="FangSong_GB2312" w:eastAsia="FangSong_GB2312" w:cs="FangSong_GB2312"/>
                <w:color w:val="auto"/>
                <w:sz w:val="32"/>
                <w:szCs w:val="32"/>
              </w:rPr>
            </w:pPr>
          </w:p>
        </w:tc>
        <w:tc>
          <w:tcPr>
            <w:tcW w:w="1336" w:type="dxa"/>
            <w:shd w:val="clear" w:color="auto" w:fill="auto"/>
            <w:noWrap w:val="0"/>
            <w:vAlign w:val="center"/>
          </w:tcPr>
          <w:p w14:paraId="32EE88CA">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-70%</w:t>
            </w:r>
          </w:p>
        </w:tc>
      </w:tr>
    </w:tbl>
    <w:p w14:paraId="60624257">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color w:val="auto"/>
          <w:sz w:val="32"/>
          <w:szCs w:val="32"/>
        </w:rPr>
        <w:t>则本例中，修正值取-10%，即b类资源的成交溢</w:t>
      </w:r>
      <w:r>
        <w:rPr>
          <w:rFonts w:ascii="FangSong_GB2312" w:hAnsi="FangSong_GB2312" w:eastAsia="FangSong_GB2312" w:cs="FangSong_GB2312"/>
          <w:sz w:val="32"/>
          <w:szCs w:val="32"/>
        </w:rPr>
        <w:t>价分配系数为：</w:t>
      </w:r>
      <w:r>
        <w:rPr>
          <w:rFonts w:ascii="DejaVu Math TeX Gyre" w:hAnsi="DejaVu Math TeX Gyre" w:eastAsia="FangSong_GB2312" w:cs="FangSong_GB2312"/>
          <w:sz w:val="32"/>
          <w:szCs w:val="32"/>
        </w:rPr>
        <w:t>Y'</w:t>
      </w:r>
      <w:r>
        <w:rPr>
          <w:rFonts w:ascii="DejaVu Math TeX Gyre" w:hAnsi="DejaVu Math TeX Gyre" w:eastAsia="FangSong_GB2312" w:cs="FangSong_GB2312"/>
          <w:sz w:val="32"/>
          <w:szCs w:val="32"/>
          <w:vertAlign w:val="subscript"/>
        </w:rPr>
        <w:t>b</w:t>
      </w:r>
      <w:r>
        <w:rPr>
          <w:rFonts w:ascii="DejaVu Math TeX Gyre" w:hAnsi="DejaVu Math TeX Gyre" w:eastAsia="FangSong_GB2312" w:cs="FangSong_GB2312"/>
          <w:sz w:val="32"/>
          <w:szCs w:val="32"/>
        </w:rPr>
        <w:t>=Y</w:t>
      </w:r>
      <w:r>
        <w:rPr>
          <w:rFonts w:ascii="DejaVu Math TeX Gyre" w:hAnsi="DejaVu Math TeX Gyre" w:eastAsia="FangSong_GB2312" w:cs="FangSong_GB2312"/>
          <w:sz w:val="32"/>
          <w:szCs w:val="32"/>
          <w:vertAlign w:val="subscript"/>
        </w:rPr>
        <w:t>b</w:t>
      </w:r>
      <w:r>
        <w:rPr>
          <w:rFonts w:ascii="DejaVu Math TeX Gyre" w:hAnsi="DejaVu Math TeX Gyre" w:eastAsia="FangSong_GB2312" w:cs="FangSong_GB2312"/>
          <w:sz w:val="32"/>
          <w:szCs w:val="32"/>
        </w:rPr>
        <w:t>×(1−10%)</w:t>
      </w:r>
      <w:r>
        <w:rPr>
          <w:rFonts w:ascii="FangSong_GB2312" w:hAnsi="FangSong_GB2312" w:eastAsia="FangSong_GB2312" w:cs="FangSong_GB2312"/>
          <w:sz w:val="32"/>
          <w:szCs w:val="32"/>
        </w:rPr>
        <w:t xml:space="preserve"> </w:t>
      </w:r>
    </w:p>
    <w:p w14:paraId="6C33479F">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bCs/>
          <w:sz w:val="32"/>
          <w:szCs w:val="32"/>
        </w:rPr>
        <w:t>*注：</w:t>
      </w:r>
      <w:r>
        <w:rPr>
          <w:rFonts w:ascii="FangSong_GB2312" w:hAnsi="FangSong_GB2312" w:eastAsia="FangSong_GB2312" w:cs="FangSong_GB2312"/>
          <w:sz w:val="32"/>
          <w:szCs w:val="32"/>
        </w:rPr>
        <w:t>示例中所取R</w:t>
      </w:r>
      <w:r>
        <w:rPr>
          <w:rFonts w:ascii="FangSong_GB2312" w:hAnsi="FangSong_GB2312" w:eastAsia="FangSong_GB2312" w:cs="FangSong_GB2312"/>
          <w:sz w:val="32"/>
          <w:szCs w:val="32"/>
          <w:vertAlign w:val="subscript"/>
        </w:rPr>
        <w:t>ab</w:t>
      </w:r>
      <w:r>
        <w:rPr>
          <w:rFonts w:ascii="FangSong_GB2312" w:hAnsi="FangSong_GB2312" w:eastAsia="FangSong_GB2312" w:cs="FangSong_GB2312"/>
          <w:sz w:val="32"/>
          <w:szCs w:val="32"/>
        </w:rPr>
        <w:t>的分档区间，以及修正值均为示意，评估实务中应在对同类案例的规律性总结中另行确定。</w:t>
      </w:r>
    </w:p>
    <w:p w14:paraId="1FB08176">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401" w:name="_Toc171693136"/>
      <w:r>
        <w:rPr>
          <w:rFonts w:hint="eastAsia" w:ascii="楷体_GB2312" w:hAnsi="楷体_GB2312" w:eastAsia="楷体_GB2312" w:cs="楷体_GB2312"/>
          <w:sz w:val="32"/>
          <w:szCs w:val="32"/>
        </w:rPr>
        <w:t>12.4按市场价值比例+溢价上限分配</w:t>
      </w:r>
      <w:bookmarkEnd w:id="401"/>
    </w:p>
    <w:p w14:paraId="21D658EF">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以资产包内各类自然资源的客观市场价值为基础，依据资产包内不同资源近期在供应市场上的成交溢价率水平，设定溢价率上限；当该资产包的成交溢价未超过上限时，按各类自然资源的市场价值比例对成交溢价进行分配（测算方法见12.2），超过上限部分的成交溢价全部划归溢价率水平较高的自然资源。该方法适用于某类资源的市场竞争热度波动幅度平稳的资产包供应中的成交溢价分配。</w:t>
      </w:r>
    </w:p>
    <w:p w14:paraId="047D05BF">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402" w:name="_Toc171693137"/>
      <w:r>
        <w:rPr>
          <w:rFonts w:hint="eastAsia" w:hAnsi="黑体" w:cs="黑体"/>
          <w:sz w:val="32"/>
          <w:szCs w:val="32"/>
        </w:rPr>
        <w:t>13估价报告的撰写与</w:t>
      </w:r>
      <w:bookmarkEnd w:id="402"/>
      <w:r>
        <w:rPr>
          <w:rFonts w:hint="eastAsia" w:hAnsi="黑体" w:cs="黑体"/>
          <w:sz w:val="32"/>
          <w:szCs w:val="32"/>
        </w:rPr>
        <w:t>出具</w:t>
      </w:r>
    </w:p>
    <w:p w14:paraId="12788E45">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403" w:name="_Toc171693138"/>
      <w:r>
        <w:rPr>
          <w:rFonts w:hint="eastAsia" w:ascii="楷体_GB2312" w:hAnsi="楷体_GB2312" w:eastAsia="楷体_GB2312" w:cs="楷体_GB2312"/>
          <w:sz w:val="32"/>
          <w:szCs w:val="32"/>
        </w:rPr>
        <w:t>13.1估价报告撰写的基本要求</w:t>
      </w:r>
      <w:bookmarkEnd w:id="403"/>
    </w:p>
    <w:p w14:paraId="69EACF47">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估价结果报告》的内容侧重于为阅读者全面清晰了解和正确准确理解，并合理运用估价结果提供所需的信息；同一自然资源资产包中各门类自然资源及其权利的估价结果应在同一份《估价结果报告》中整体体现。</w:t>
      </w:r>
    </w:p>
    <w:p w14:paraId="5288A31D">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估价技术报告（评估工作底稿）》中除前款所述内容外，还需重点分析资产包内各构成部分组合利用的相互影响，并在充分关注组合利用模式的前提下，详细阐述评估方法的选择与运用、评估参数的测算与取值等专业技术过程；采用分估模式时，同一自然资源资产包的《估价技术报告（评估工作底稿）》可以选择按自然资源门类分为多个分报告编写，也可在同一报告中集成编写。</w:t>
      </w:r>
    </w:p>
    <w:p w14:paraId="44362C4E">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确定估价结果时，若自然资源资产包的整体价格低于各门类自然资源资产单独供应时的价格之和，应在评估报告中进行风险披露；各门类自然资源资产单独供应情况下的价格可通过市场调查、交易案例统计分析等方法简易估算。</w:t>
      </w:r>
    </w:p>
    <w:p w14:paraId="40CBEC59">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d)服务于自然资源资产组合供应的评估中，估价结果部分除应列示自然资源资产包的整体价格外，还应分别列示各门类自然资源资产的单价和总价；确实无法分别列示各门类自然资源资产价格的，须阐明原因。</w:t>
      </w:r>
    </w:p>
    <w:p w14:paraId="006C2257">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e)估价报告的内容提纲见附录A，具体编写格式可结合相应门类自然资源资产估价的一般要求，根据自然资源资产包的具体情况适当调整。</w:t>
      </w:r>
    </w:p>
    <w:p w14:paraId="70664E3D">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f)对于符合12.1规定的情形，应在估价报告中根据委托要求进行成交溢价分配测算分析。</w:t>
      </w:r>
    </w:p>
    <w:p w14:paraId="2A9F0AD3">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404" w:name="_Toc171693139"/>
      <w:r>
        <w:rPr>
          <w:rFonts w:hint="eastAsia" w:ascii="楷体_GB2312" w:hAnsi="楷体_GB2312" w:eastAsia="楷体_GB2312" w:cs="楷体_GB2312"/>
          <w:sz w:val="32"/>
          <w:szCs w:val="32"/>
        </w:rPr>
        <w:t>13.2估价报告的出具与</w:t>
      </w:r>
      <w:bookmarkEnd w:id="404"/>
      <w:r>
        <w:rPr>
          <w:rFonts w:hint="eastAsia" w:ascii="楷体_GB2312" w:hAnsi="楷体_GB2312" w:eastAsia="楷体_GB2312" w:cs="楷体_GB2312"/>
          <w:sz w:val="32"/>
          <w:szCs w:val="32"/>
        </w:rPr>
        <w:t>使用</w:t>
      </w:r>
    </w:p>
    <w:p w14:paraId="4B824469">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在履行必要的备案程序后，《估价结果报告》供估价机构提交给委托方使用，《估价结果报告》与《估价技术报告（评估工作底稿）》供估价机构提交自然资源管理部门进行审查。</w:t>
      </w:r>
    </w:p>
    <w:p w14:paraId="4368A2AC">
      <w:pPr>
        <w:widowControl/>
        <w:adjustRightInd w:val="0"/>
        <w:spacing w:line="560" w:lineRule="exact"/>
        <w:rPr>
          <w:rFonts w:hint="eastAsia" w:ascii="FangSong_GB2312" w:hAnsi="FangSong_GB2312" w:cs="FangSong_GB2312"/>
          <w:szCs w:val="32"/>
        </w:rPr>
      </w:pPr>
      <w:bookmarkStart w:id="405" w:name="_Toc171693140"/>
      <w:r>
        <w:rPr>
          <w:rFonts w:hint="eastAsia" w:ascii="FangSong_GB2312" w:hAnsi="FangSong_GB2312" w:cs="FangSong_GB2312"/>
          <w:szCs w:val="32"/>
        </w:rPr>
        <w:br w:type="page"/>
      </w:r>
      <w:r>
        <w:rPr>
          <w:rFonts w:hint="eastAsia" w:ascii="黑体" w:hAnsi="黑体" w:eastAsia="黑体" w:cs="黑体"/>
          <w:szCs w:val="32"/>
        </w:rPr>
        <w:t>附 录 A</w:t>
      </w:r>
      <w:bookmarkStart w:id="406" w:name="_Toc132285910"/>
      <w:bookmarkStart w:id="407" w:name="_Toc132183624"/>
      <w:bookmarkStart w:id="408" w:name="_Toc132185014"/>
      <w:bookmarkStart w:id="409" w:name="_Toc132185145"/>
      <w:bookmarkStart w:id="410" w:name="_Toc132185079"/>
      <w:bookmarkStart w:id="411" w:name="_Toc132185210"/>
      <w:bookmarkStart w:id="412" w:name="_Toc132185341"/>
      <w:bookmarkStart w:id="413" w:name="_Toc144476362"/>
      <w:bookmarkStart w:id="414" w:name="_Toc134621244"/>
      <w:bookmarkStart w:id="415" w:name="_Toc132269070"/>
      <w:bookmarkStart w:id="416" w:name="_Toc134085057"/>
      <w:bookmarkStart w:id="417" w:name="_Toc132290183"/>
      <w:r>
        <w:rPr>
          <w:rFonts w:hint="eastAsia" w:ascii="黑体" w:hAnsi="黑体" w:eastAsia="黑体" w:cs="黑体"/>
          <w:szCs w:val="32"/>
        </w:rPr>
        <w:t>（规范性）估价报告撰写提纲</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775B18F6">
      <w:pPr>
        <w:pStyle w:val="36"/>
        <w:ind w:firstLine="420"/>
      </w:pPr>
    </w:p>
    <w:p w14:paraId="0B6DB5DD">
      <w:pPr>
        <w:pStyle w:val="60"/>
        <w:spacing w:before="217" w:after="217" w:line="560" w:lineRule="exact"/>
        <w:ind w:firstLine="640" w:firstLineChars="200"/>
        <w:jc w:val="left"/>
        <w:rPr>
          <w:rFonts w:hint="eastAsia" w:hAnsi="黑体" w:cs="黑体"/>
        </w:rPr>
      </w:pPr>
      <w:bookmarkStart w:id="418" w:name="_Toc171693141"/>
      <w:r>
        <w:rPr>
          <w:rFonts w:hint="eastAsia" w:hAnsi="黑体" w:cs="黑体"/>
          <w:sz w:val="32"/>
          <w:szCs w:val="32"/>
        </w:rPr>
        <w:t>A.1《估价结果报告》撰写提纲</w:t>
      </w:r>
      <w:bookmarkEnd w:id="418"/>
    </w:p>
    <w:p w14:paraId="444AEE8D">
      <w:pPr>
        <w:pStyle w:val="60"/>
        <w:spacing w:before="217" w:after="217"/>
        <w:rPr>
          <w:rFonts w:hint="eastAsia" w:ascii="楷体_GB2312" w:hAnsi="楷体_GB2312" w:eastAsia="楷体_GB2312" w:cs="楷体_GB2312"/>
          <w:b/>
          <w:bCs/>
          <w:color w:val="000000"/>
          <w:sz w:val="32"/>
          <w:szCs w:val="32"/>
        </w:rPr>
      </w:pPr>
      <w:bookmarkStart w:id="419" w:name="_Toc121422658"/>
      <w:r>
        <w:rPr>
          <w:rFonts w:hint="eastAsia" w:ascii="FangSong_GB2312" w:hAnsi="FangSong_GB2312" w:eastAsia="FangSong_GB2312" w:cs="FangSong_GB2312"/>
          <w:b/>
          <w:bCs/>
          <w:color w:val="000000"/>
          <w:sz w:val="32"/>
          <w:szCs w:val="32"/>
        </w:rPr>
        <w:t xml:space="preserve">   </w:t>
      </w:r>
      <w:r>
        <w:rPr>
          <w:rFonts w:hint="eastAsia" w:ascii="楷体_GB2312" w:hAnsi="楷体_GB2312" w:eastAsia="楷体_GB2312" w:cs="楷体_GB2312"/>
          <w:b/>
          <w:bCs/>
          <w:color w:val="000000"/>
          <w:sz w:val="32"/>
          <w:szCs w:val="32"/>
        </w:rPr>
        <w:t xml:space="preserve"> </w:t>
      </w:r>
      <w:r>
        <w:rPr>
          <w:rFonts w:hint="eastAsia" w:ascii="楷体_GB2312" w:hAnsi="楷体_GB2312" w:eastAsia="楷体_GB2312" w:cs="楷体_GB2312"/>
          <w:color w:val="000000"/>
          <w:sz w:val="32"/>
          <w:szCs w:val="32"/>
        </w:rPr>
        <w:t>1估价报告封面</w:t>
      </w:r>
      <w:bookmarkEnd w:id="419"/>
    </w:p>
    <w:p w14:paraId="5EAF0744">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估价报告封面应包括项目全称、受托估价单位、估价报告编号、电子备案号、提交估价报告日期等；</w:t>
      </w:r>
    </w:p>
    <w:p w14:paraId="3B5708D0">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估价报告封面应项目齐全、表述完整、规范、清晰、设计美观；正式提交的纸质版估价报告封面应包括经过报告备案系统生成封面（含二维码）。</w:t>
      </w:r>
    </w:p>
    <w:p w14:paraId="5F34D8C5">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1.1项目名称</w:t>
      </w:r>
    </w:p>
    <w:p w14:paraId="5FECCDD7">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估价项目名称必须表述准确、规范，内容应包括估价对象（名称、位置可按照委托函、出让文件等载明坐落填写）、估价目的（出让）、价格类型等要素。</w:t>
      </w:r>
    </w:p>
    <w:p w14:paraId="028FF8F3">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1.2受托估价单位</w:t>
      </w:r>
    </w:p>
    <w:p w14:paraId="6CDE223D">
      <w:pPr>
        <w:kinsoku w:val="0"/>
        <w:autoSpaceDE w:val="0"/>
        <w:autoSpaceDN w:val="0"/>
        <w:snapToGrid w:val="0"/>
        <w:spacing w:line="560" w:lineRule="exact"/>
        <w:ind w:firstLine="616"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pacing w:val="-6"/>
          <w:szCs w:val="32"/>
        </w:rPr>
        <w:t>受托估价单位法定名称，该机构应取得相应机构备案证明。</w:t>
      </w:r>
    </w:p>
    <w:p w14:paraId="751B81C4">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土地估价机构备案证明、矿业权评估机构备案证明等。</w:t>
      </w:r>
    </w:p>
    <w:p w14:paraId="48D43E10">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1.3估价报告编号</w:t>
      </w:r>
    </w:p>
    <w:p w14:paraId="26516FA2">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说明估价机构对该项目的编号，含有“（地名）估价机构简称（年度）组合供应（估）字第××号”等字样，其中年度为提交估价报告日所在年度。</w:t>
      </w:r>
    </w:p>
    <w:p w14:paraId="0AAFA59A">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1.4电子备案号</w:t>
      </w:r>
    </w:p>
    <w:p w14:paraId="3C3F5A29">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应和自然资源部自然资源资产组合估价报告备案系统内编号一致。</w:t>
      </w:r>
    </w:p>
    <w:p w14:paraId="2AF9B7C1">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1.5提交估价报告日期</w:t>
      </w:r>
    </w:p>
    <w:p w14:paraId="6212C910">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说明估价报告提交的具体日期。应和自然资源部自然资源资产组合估价报告备案系统备案时间一致。</w:t>
      </w:r>
    </w:p>
    <w:p w14:paraId="194AF7D8">
      <w:pPr>
        <w:kinsoku w:val="0"/>
        <w:autoSpaceDE w:val="0"/>
        <w:autoSpaceDN w:val="0"/>
        <w:adjustRightInd w:val="0"/>
        <w:snapToGrid w:val="0"/>
        <w:spacing w:line="560" w:lineRule="exact"/>
        <w:jc w:val="left"/>
        <w:textAlignment w:val="baseline"/>
        <w:outlineLvl w:val="1"/>
        <w:rPr>
          <w:rFonts w:hint="eastAsia" w:ascii="FangSong_GB2312" w:hAnsi="FangSong_GB2312" w:cs="FangSong_GB2312"/>
          <w:b/>
          <w:bCs/>
          <w:color w:val="000000"/>
          <w:szCs w:val="32"/>
        </w:rPr>
      </w:pPr>
      <w:bookmarkStart w:id="420" w:name="_Toc121422659"/>
      <w:r>
        <w:rPr>
          <w:rFonts w:hint="eastAsia" w:ascii="FangSong_GB2312" w:hAnsi="FangSong_GB2312" w:cs="FangSong_GB2312"/>
          <w:b/>
          <w:bCs/>
          <w:color w:val="000000"/>
          <w:szCs w:val="32"/>
        </w:rPr>
        <w:t xml:space="preserve">   </w:t>
      </w:r>
      <w:r>
        <w:rPr>
          <w:rFonts w:hint="eastAsia" w:ascii="黑体" w:hAnsi="黑体" w:eastAsia="黑体" w:cs="黑体"/>
          <w:color w:val="000000"/>
          <w:szCs w:val="32"/>
        </w:rPr>
        <w:t xml:space="preserve"> </w:t>
      </w:r>
      <w:r>
        <w:rPr>
          <w:rFonts w:hint="eastAsia" w:ascii="楷体_GB2312" w:hAnsi="楷体_GB2312" w:eastAsia="楷体_GB2312" w:cs="楷体_GB2312"/>
          <w:color w:val="000000"/>
          <w:kern w:val="21"/>
          <w:szCs w:val="32"/>
        </w:rPr>
        <w:t>2摘要</w:t>
      </w:r>
      <w:bookmarkEnd w:id="420"/>
    </w:p>
    <w:p w14:paraId="44600DD3">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2.1估价项目名称</w:t>
      </w:r>
    </w:p>
    <w:p w14:paraId="5AC97879">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同“1.1项目名称”。</w:t>
      </w:r>
    </w:p>
    <w:p w14:paraId="39BE9850">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2.2委托估价方</w:t>
      </w:r>
    </w:p>
    <w:p w14:paraId="4BD7F96E">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应包括该项估价的委托单位全称、单位地址、联系人姓名和联系电话。</w:t>
      </w:r>
    </w:p>
    <w:p w14:paraId="6E892E9A">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2.3估价目的</w:t>
      </w:r>
    </w:p>
    <w:p w14:paraId="2E6D481A">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服务于组合供应的，通常表述为“为出让方通过集体决策确定出让底价提供参考依据”或“为出让方通过集体决策确定出让底价提供参考依据，并为出让方拟定成交溢价分配方案提供测算分析”。</w:t>
      </w:r>
    </w:p>
    <w:p w14:paraId="70A35633">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2.4估价期日</w:t>
      </w:r>
    </w:p>
    <w:p w14:paraId="55C4FA7A">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（1）</w:t>
      </w:r>
      <w:r>
        <w:rPr>
          <w:rFonts w:hint="eastAsia" w:ascii="FangSong_GB2312" w:hAnsi="FangSong_GB2312" w:cs="FangSong_GB2312"/>
          <w:color w:val="000000"/>
          <w:spacing w:val="-6"/>
          <w:szCs w:val="32"/>
        </w:rPr>
        <w:t>估价期日是估价结果对应的具体日期，具体到年月日。</w:t>
      </w:r>
    </w:p>
    <w:p w14:paraId="781F1D45">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（2）应确定合理、表述清楚、前后一致。</w:t>
      </w:r>
    </w:p>
    <w:p w14:paraId="69D28FBA">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（3）</w:t>
      </w:r>
      <w:r>
        <w:rPr>
          <w:rFonts w:hint="eastAsia" w:ascii="FangSong_GB2312" w:hAnsi="FangSong_GB2312" w:cs="FangSong_GB2312"/>
          <w:color w:val="000000"/>
          <w:spacing w:val="-6"/>
          <w:szCs w:val="32"/>
        </w:rPr>
        <w:t>估价期日应与《估价委托书》中明确的估价期日一致。</w:t>
      </w:r>
    </w:p>
    <w:p w14:paraId="72620C24">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（4）特殊情况下设定的估价期日，应充分说明理由，并说明接受委托、实地查勘日期。如存在不一致的情况应在需要特殊说明事项中说明理由。</w:t>
      </w:r>
    </w:p>
    <w:p w14:paraId="232CC9BB">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2.5估价日期</w:t>
      </w:r>
    </w:p>
    <w:p w14:paraId="034F1F14">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应说明该项目估价工作的起止日期，具体到年月日。</w:t>
      </w:r>
    </w:p>
    <w:p w14:paraId="6EC520D2">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2.6估价对象和估价范围</w:t>
      </w:r>
    </w:p>
    <w:p w14:paraId="1B567FE5">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应说明估价对象为自然资源资产包，列示资产包内所含资产清单；具体说明资产包内各门类自然资源实体要素各自的空间位置、范围（边界）及其相互关联性等。</w:t>
      </w:r>
    </w:p>
    <w:p w14:paraId="0FD1FD8A">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2.7价格定义</w:t>
      </w:r>
    </w:p>
    <w:p w14:paraId="40299C10">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从价格种类、市场特征、权利类型、具体权能（用途）及其使用年期、规划利用限制条件、开发程度、价格对应的市场特征，以及估价期日等方面进行清晰明确的设定；其中对用途、规划利用限制条件、开发程度等要素应分别说明现状实际情况与对应于本次评估结果的设定内涵。</w:t>
      </w:r>
    </w:p>
    <w:p w14:paraId="3D58B44D">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2.8估价结果</w:t>
      </w:r>
    </w:p>
    <w:p w14:paraId="151FCF11">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①说明自然资源资产资产包总价金额、大写金额。</w:t>
      </w:r>
    </w:p>
    <w:p w14:paraId="57E5610A">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②说明资产包内各门类自然资源资产及权利（权能）的总价和单价，并可根据需要按具体权利权能分列，确实无法剥离或分摊的，须阐明原因。</w:t>
      </w:r>
    </w:p>
    <w:p w14:paraId="0A40366C">
      <w:pPr>
        <w:spacing w:line="560" w:lineRule="exact"/>
        <w:ind w:firstLine="643" w:firstLineChars="200"/>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自然资源资产包估价结果汇总表示例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563"/>
        <w:gridCol w:w="1874"/>
        <w:gridCol w:w="2206"/>
      </w:tblGrid>
      <w:tr w14:paraId="07F2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372" w:type="dxa"/>
            <w:noWrap w:val="0"/>
            <w:vAlign w:val="center"/>
          </w:tcPr>
          <w:p w14:paraId="55DB181E">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自然资源资产</w:t>
            </w:r>
          </w:p>
        </w:tc>
        <w:tc>
          <w:tcPr>
            <w:tcW w:w="2625" w:type="dxa"/>
            <w:noWrap w:val="0"/>
            <w:vAlign w:val="center"/>
          </w:tcPr>
          <w:p w14:paraId="18B86767">
            <w:pPr>
              <w:spacing w:line="560" w:lineRule="exact"/>
              <w:jc w:val="left"/>
              <w:rPr>
                <w:rFonts w:hint="eastAsia" w:ascii="FangSong_GB2312" w:hAnsi="FangSong_GB2312" w:cs="FangSong_GB2312"/>
                <w:b/>
                <w:bCs/>
                <w:color w:val="000000"/>
                <w:szCs w:val="32"/>
              </w:rPr>
            </w:pPr>
            <w:r>
              <w:rPr>
                <w:rFonts w:hint="eastAsia" w:ascii="FangSong_GB2312" w:hAnsi="FangSong_GB2312" w:cs="FangSong_GB2312"/>
                <w:b/>
                <w:bCs/>
                <w:color w:val="000000"/>
                <w:szCs w:val="32"/>
              </w:rPr>
              <w:t>单价（元/m</w:t>
            </w:r>
            <w:r>
              <w:rPr>
                <w:rFonts w:hint="eastAsia" w:ascii="FangSong_GB2312" w:hAnsi="FangSong_GB2312" w:cs="FangSong_GB2312"/>
                <w:b/>
                <w:bCs/>
                <w:color w:val="000000"/>
                <w:szCs w:val="32"/>
                <w:vertAlign w:val="superscript"/>
              </w:rPr>
              <w:t>2</w:t>
            </w:r>
            <w:r>
              <w:rPr>
                <w:rFonts w:hint="eastAsia" w:ascii="FangSong_GB2312" w:hAnsi="FangSong_GB2312" w:cs="FangSong_GB2312"/>
                <w:b/>
                <w:bCs/>
                <w:color w:val="000000"/>
                <w:szCs w:val="32"/>
              </w:rPr>
              <w:t>、元/m</w:t>
            </w:r>
            <w:r>
              <w:rPr>
                <w:rFonts w:hint="eastAsia" w:ascii="FangSong_GB2312" w:hAnsi="FangSong_GB2312" w:cs="FangSong_GB2312"/>
                <w:b/>
                <w:bCs/>
                <w:color w:val="000000"/>
                <w:szCs w:val="32"/>
                <w:vertAlign w:val="superscript"/>
              </w:rPr>
              <w:t>3</w:t>
            </w:r>
            <w:r>
              <w:rPr>
                <w:rFonts w:hint="eastAsia" w:ascii="FangSong_GB2312" w:hAnsi="FangSong_GB2312" w:cs="FangSong_GB2312"/>
                <w:b/>
                <w:bCs/>
                <w:color w:val="000000"/>
                <w:szCs w:val="32"/>
              </w:rPr>
              <w:t>、元/吨、元/立方米）</w:t>
            </w:r>
          </w:p>
        </w:tc>
        <w:tc>
          <w:tcPr>
            <w:tcW w:w="1903" w:type="dxa"/>
            <w:noWrap w:val="0"/>
            <w:vAlign w:val="center"/>
          </w:tcPr>
          <w:p w14:paraId="2B2F277B">
            <w:pPr>
              <w:spacing w:line="560" w:lineRule="exact"/>
              <w:jc w:val="left"/>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规模（m</w:t>
            </w:r>
            <w:r>
              <w:rPr>
                <w:rFonts w:hint="eastAsia" w:ascii="FangSong_GB2312" w:hAnsi="FangSong_GB2312" w:cs="FangSong_GB2312"/>
                <w:b/>
                <w:bCs/>
                <w:color w:val="000000"/>
                <w:szCs w:val="32"/>
                <w:vertAlign w:val="superscript"/>
              </w:rPr>
              <w:t>2</w:t>
            </w:r>
            <w:r>
              <w:rPr>
                <w:rFonts w:hint="eastAsia" w:ascii="FangSong_GB2312" w:hAnsi="FangSong_GB2312" w:cs="FangSong_GB2312"/>
                <w:b/>
                <w:bCs/>
                <w:color w:val="000000"/>
                <w:szCs w:val="32"/>
              </w:rPr>
              <w:t>、m</w:t>
            </w:r>
            <w:r>
              <w:rPr>
                <w:rFonts w:hint="eastAsia" w:ascii="FangSong_GB2312" w:hAnsi="FangSong_GB2312" w:cs="FangSong_GB2312"/>
                <w:b/>
                <w:bCs/>
                <w:color w:val="000000"/>
                <w:szCs w:val="32"/>
                <w:vertAlign w:val="superscript"/>
              </w:rPr>
              <w:t>3</w:t>
            </w:r>
            <w:r>
              <w:rPr>
                <w:rFonts w:hint="eastAsia" w:ascii="FangSong_GB2312" w:hAnsi="FangSong_GB2312" w:cs="FangSong_GB2312"/>
                <w:b/>
                <w:bCs/>
                <w:color w:val="000000"/>
                <w:szCs w:val="32"/>
              </w:rPr>
              <w:t>、万吨、万立方米）</w:t>
            </w:r>
          </w:p>
        </w:tc>
        <w:tc>
          <w:tcPr>
            <w:tcW w:w="2257" w:type="dxa"/>
            <w:noWrap w:val="0"/>
            <w:vAlign w:val="center"/>
          </w:tcPr>
          <w:p w14:paraId="2D0EAE59">
            <w:pPr>
              <w:spacing w:line="560" w:lineRule="exact"/>
              <w:jc w:val="left"/>
              <w:rPr>
                <w:rFonts w:hint="eastAsia" w:ascii="FangSong_GB2312" w:hAnsi="FangSong_GB2312" w:cs="FangSong_GB2312"/>
                <w:b/>
                <w:bCs/>
                <w:color w:val="000000"/>
                <w:szCs w:val="32"/>
              </w:rPr>
            </w:pPr>
            <w:r>
              <w:rPr>
                <w:rFonts w:hint="eastAsia" w:ascii="FangSong_GB2312" w:hAnsi="FangSong_GB2312" w:cs="FangSong_GB2312"/>
                <w:b/>
                <w:bCs/>
                <w:color w:val="000000"/>
                <w:szCs w:val="32"/>
              </w:rPr>
              <w:t>总价（万元）</w:t>
            </w:r>
          </w:p>
        </w:tc>
      </w:tr>
      <w:tr w14:paraId="6555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72" w:type="dxa"/>
            <w:noWrap w:val="0"/>
            <w:vAlign w:val="center"/>
          </w:tcPr>
          <w:p w14:paraId="46CCCAE9">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建设用地</w:t>
            </w:r>
          </w:p>
        </w:tc>
        <w:tc>
          <w:tcPr>
            <w:tcW w:w="2625" w:type="dxa"/>
            <w:noWrap w:val="0"/>
            <w:vAlign w:val="center"/>
          </w:tcPr>
          <w:p w14:paraId="79A51381">
            <w:pPr>
              <w:spacing w:line="560" w:lineRule="exact"/>
              <w:jc w:val="left"/>
              <w:rPr>
                <w:rFonts w:hint="eastAsia" w:ascii="FangSong_GB2312" w:hAnsi="FangSong_GB2312" w:cs="FangSong_GB2312"/>
                <w:color w:val="000000"/>
                <w:szCs w:val="32"/>
              </w:rPr>
            </w:pPr>
          </w:p>
        </w:tc>
        <w:tc>
          <w:tcPr>
            <w:tcW w:w="1903" w:type="dxa"/>
            <w:noWrap w:val="0"/>
            <w:vAlign w:val="center"/>
          </w:tcPr>
          <w:p w14:paraId="3F1D382B">
            <w:pPr>
              <w:spacing w:line="560" w:lineRule="exact"/>
              <w:jc w:val="left"/>
              <w:rPr>
                <w:rFonts w:hint="eastAsia" w:ascii="FangSong_GB2312" w:hAnsi="FangSong_GB2312" w:cs="FangSong_GB2312"/>
                <w:color w:val="000000"/>
                <w:szCs w:val="32"/>
              </w:rPr>
            </w:pPr>
          </w:p>
        </w:tc>
        <w:tc>
          <w:tcPr>
            <w:tcW w:w="2257" w:type="dxa"/>
            <w:noWrap w:val="0"/>
            <w:vAlign w:val="center"/>
          </w:tcPr>
          <w:p w14:paraId="77F533B7">
            <w:pPr>
              <w:spacing w:line="560" w:lineRule="exact"/>
              <w:jc w:val="left"/>
              <w:rPr>
                <w:rFonts w:hint="eastAsia" w:ascii="FangSong_GB2312" w:hAnsi="FangSong_GB2312" w:cs="FangSong_GB2312"/>
                <w:color w:val="000000"/>
                <w:szCs w:val="32"/>
              </w:rPr>
            </w:pPr>
          </w:p>
        </w:tc>
      </w:tr>
      <w:tr w14:paraId="12AD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72" w:type="dxa"/>
            <w:noWrap w:val="0"/>
            <w:vAlign w:val="center"/>
          </w:tcPr>
          <w:p w14:paraId="50EF1254">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采矿权/探矿权</w:t>
            </w:r>
          </w:p>
        </w:tc>
        <w:tc>
          <w:tcPr>
            <w:tcW w:w="2625" w:type="dxa"/>
            <w:noWrap w:val="0"/>
            <w:vAlign w:val="center"/>
          </w:tcPr>
          <w:p w14:paraId="06032716">
            <w:pPr>
              <w:spacing w:line="560" w:lineRule="exact"/>
              <w:jc w:val="left"/>
              <w:rPr>
                <w:rFonts w:hint="eastAsia" w:ascii="FangSong_GB2312" w:hAnsi="FangSong_GB2312" w:cs="FangSong_GB2312"/>
                <w:color w:val="000000"/>
                <w:szCs w:val="32"/>
              </w:rPr>
            </w:pPr>
          </w:p>
        </w:tc>
        <w:tc>
          <w:tcPr>
            <w:tcW w:w="1903" w:type="dxa"/>
            <w:noWrap w:val="0"/>
            <w:vAlign w:val="center"/>
          </w:tcPr>
          <w:p w14:paraId="02DC2305">
            <w:pPr>
              <w:spacing w:line="560" w:lineRule="exact"/>
              <w:jc w:val="left"/>
              <w:rPr>
                <w:rFonts w:hint="eastAsia" w:ascii="FangSong_GB2312" w:hAnsi="FangSong_GB2312" w:cs="FangSong_GB2312"/>
                <w:color w:val="000000"/>
                <w:szCs w:val="32"/>
              </w:rPr>
            </w:pPr>
          </w:p>
        </w:tc>
        <w:tc>
          <w:tcPr>
            <w:tcW w:w="2257" w:type="dxa"/>
            <w:noWrap w:val="0"/>
            <w:vAlign w:val="center"/>
          </w:tcPr>
          <w:p w14:paraId="6223BEF8">
            <w:pPr>
              <w:spacing w:line="560" w:lineRule="exact"/>
              <w:jc w:val="left"/>
              <w:rPr>
                <w:rFonts w:hint="eastAsia" w:ascii="FangSong_GB2312" w:hAnsi="FangSong_GB2312" w:cs="FangSong_GB2312"/>
                <w:color w:val="000000"/>
                <w:szCs w:val="32"/>
              </w:rPr>
            </w:pPr>
          </w:p>
        </w:tc>
      </w:tr>
      <w:tr w14:paraId="45F6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372" w:type="dxa"/>
            <w:noWrap w:val="0"/>
            <w:vAlign w:val="center"/>
          </w:tcPr>
          <w:p w14:paraId="302FB77F">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森林资产</w:t>
            </w:r>
          </w:p>
        </w:tc>
        <w:tc>
          <w:tcPr>
            <w:tcW w:w="2625" w:type="dxa"/>
            <w:noWrap w:val="0"/>
            <w:vAlign w:val="center"/>
          </w:tcPr>
          <w:p w14:paraId="268465F3">
            <w:pPr>
              <w:spacing w:line="560" w:lineRule="exact"/>
              <w:jc w:val="left"/>
              <w:rPr>
                <w:rFonts w:hint="eastAsia" w:ascii="FangSong_GB2312" w:hAnsi="FangSong_GB2312" w:cs="FangSong_GB2312"/>
                <w:color w:val="000000"/>
                <w:szCs w:val="32"/>
              </w:rPr>
            </w:pPr>
          </w:p>
        </w:tc>
        <w:tc>
          <w:tcPr>
            <w:tcW w:w="1903" w:type="dxa"/>
            <w:noWrap w:val="0"/>
            <w:vAlign w:val="center"/>
          </w:tcPr>
          <w:p w14:paraId="5261CCC3">
            <w:pPr>
              <w:spacing w:line="560" w:lineRule="exact"/>
              <w:jc w:val="left"/>
              <w:rPr>
                <w:rFonts w:hint="eastAsia" w:ascii="FangSong_GB2312" w:hAnsi="FangSong_GB2312" w:cs="FangSong_GB2312"/>
                <w:color w:val="000000"/>
                <w:szCs w:val="32"/>
              </w:rPr>
            </w:pPr>
          </w:p>
        </w:tc>
        <w:tc>
          <w:tcPr>
            <w:tcW w:w="2257" w:type="dxa"/>
            <w:noWrap w:val="0"/>
            <w:vAlign w:val="center"/>
          </w:tcPr>
          <w:p w14:paraId="4D8DBA5C">
            <w:pPr>
              <w:spacing w:line="560" w:lineRule="exact"/>
              <w:jc w:val="left"/>
              <w:rPr>
                <w:rFonts w:hint="eastAsia" w:ascii="FangSong_GB2312" w:hAnsi="FangSong_GB2312" w:cs="FangSong_GB2312"/>
                <w:color w:val="000000"/>
                <w:szCs w:val="32"/>
              </w:rPr>
            </w:pPr>
          </w:p>
        </w:tc>
      </w:tr>
      <w:tr w14:paraId="5F4B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372" w:type="dxa"/>
            <w:noWrap w:val="0"/>
            <w:vAlign w:val="center"/>
          </w:tcPr>
          <w:p w14:paraId="41911AD0">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农用地</w:t>
            </w:r>
          </w:p>
        </w:tc>
        <w:tc>
          <w:tcPr>
            <w:tcW w:w="2625" w:type="dxa"/>
            <w:noWrap w:val="0"/>
            <w:vAlign w:val="center"/>
          </w:tcPr>
          <w:p w14:paraId="1C74D852">
            <w:pPr>
              <w:spacing w:line="560" w:lineRule="exact"/>
              <w:jc w:val="left"/>
              <w:rPr>
                <w:rFonts w:hint="eastAsia" w:ascii="FangSong_GB2312" w:hAnsi="FangSong_GB2312" w:cs="FangSong_GB2312"/>
                <w:color w:val="000000"/>
                <w:szCs w:val="32"/>
              </w:rPr>
            </w:pPr>
          </w:p>
        </w:tc>
        <w:tc>
          <w:tcPr>
            <w:tcW w:w="1903" w:type="dxa"/>
            <w:noWrap w:val="0"/>
            <w:vAlign w:val="center"/>
          </w:tcPr>
          <w:p w14:paraId="56EB8062">
            <w:pPr>
              <w:spacing w:line="560" w:lineRule="exact"/>
              <w:jc w:val="left"/>
              <w:rPr>
                <w:rFonts w:hint="eastAsia" w:ascii="FangSong_GB2312" w:hAnsi="FangSong_GB2312" w:cs="FangSong_GB2312"/>
                <w:color w:val="000000"/>
                <w:szCs w:val="32"/>
              </w:rPr>
            </w:pPr>
          </w:p>
        </w:tc>
        <w:tc>
          <w:tcPr>
            <w:tcW w:w="2257" w:type="dxa"/>
            <w:noWrap w:val="0"/>
            <w:vAlign w:val="center"/>
          </w:tcPr>
          <w:p w14:paraId="2423FD44">
            <w:pPr>
              <w:spacing w:line="560" w:lineRule="exact"/>
              <w:jc w:val="left"/>
              <w:rPr>
                <w:rFonts w:hint="eastAsia" w:ascii="FangSong_GB2312" w:hAnsi="FangSong_GB2312" w:cs="FangSong_GB2312"/>
                <w:color w:val="000000"/>
                <w:szCs w:val="32"/>
              </w:rPr>
            </w:pPr>
          </w:p>
        </w:tc>
      </w:tr>
      <w:tr w14:paraId="635A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372" w:type="dxa"/>
            <w:noWrap w:val="0"/>
            <w:vAlign w:val="center"/>
          </w:tcPr>
          <w:p w14:paraId="26C8742D">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总计</w:t>
            </w:r>
          </w:p>
        </w:tc>
        <w:tc>
          <w:tcPr>
            <w:tcW w:w="2625" w:type="dxa"/>
            <w:noWrap w:val="0"/>
            <w:vAlign w:val="center"/>
          </w:tcPr>
          <w:p w14:paraId="60672F45">
            <w:pPr>
              <w:spacing w:line="560" w:lineRule="exact"/>
              <w:jc w:val="left"/>
              <w:rPr>
                <w:rFonts w:hint="eastAsia" w:ascii="FangSong_GB2312" w:hAnsi="FangSong_GB2312" w:cs="FangSong_GB2312"/>
                <w:color w:val="000000"/>
                <w:szCs w:val="32"/>
              </w:rPr>
            </w:pPr>
            <w:r>
              <w:rPr>
                <w:rFonts w:hint="eastAsia" w:ascii="FangSong_GB2312" w:hAnsi="FangSong_GB2312" w:cs="FangSong_GB2312"/>
                <w:color w:val="000000"/>
                <w:szCs w:val="32"/>
              </w:rPr>
              <w:t>——</w:t>
            </w:r>
          </w:p>
        </w:tc>
        <w:tc>
          <w:tcPr>
            <w:tcW w:w="1903" w:type="dxa"/>
            <w:noWrap w:val="0"/>
            <w:vAlign w:val="center"/>
          </w:tcPr>
          <w:p w14:paraId="3ABF3D4A">
            <w:pPr>
              <w:spacing w:line="560" w:lineRule="exact"/>
              <w:jc w:val="left"/>
              <w:rPr>
                <w:rFonts w:hint="eastAsia" w:ascii="FangSong_GB2312" w:hAnsi="FangSong_GB2312" w:cs="FangSong_GB2312"/>
                <w:color w:val="000000"/>
                <w:szCs w:val="32"/>
              </w:rPr>
            </w:pPr>
            <w:r>
              <w:rPr>
                <w:rFonts w:hint="eastAsia" w:ascii="FangSong_GB2312" w:hAnsi="FangSong_GB2312" w:cs="FangSong_GB2312"/>
                <w:color w:val="000000"/>
                <w:szCs w:val="32"/>
              </w:rPr>
              <w:t>——</w:t>
            </w:r>
          </w:p>
        </w:tc>
        <w:tc>
          <w:tcPr>
            <w:tcW w:w="2257" w:type="dxa"/>
            <w:noWrap w:val="0"/>
            <w:vAlign w:val="center"/>
          </w:tcPr>
          <w:p w14:paraId="57BD3431">
            <w:pPr>
              <w:spacing w:line="560" w:lineRule="exact"/>
              <w:jc w:val="left"/>
              <w:rPr>
                <w:rFonts w:hint="eastAsia" w:ascii="FangSong_GB2312" w:hAnsi="FangSong_GB2312" w:cs="FangSong_GB2312"/>
                <w:color w:val="000000"/>
                <w:szCs w:val="32"/>
              </w:rPr>
            </w:pPr>
          </w:p>
        </w:tc>
      </w:tr>
    </w:tbl>
    <w:p w14:paraId="5E64417B">
      <w:pPr>
        <w:spacing w:line="56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注：土地、草地、林地、湿地、水面等以平面计量的，单位为：平方米，价格单位为：元/平方米；采矿权、取水权等以立体计量的，单位为：吨、立方米等，价格单位为：元/吨、元/立方米。单价以元为单位，总价以万元为单位并保留四位小数。</w:t>
      </w:r>
    </w:p>
    <w:p w14:paraId="2024DACB">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③风险披露：说明是否存在自然资源资产包的整体价格低于各门类自然资源资产单独供应时的价格之和；各门类自然资源资产单独供应情况下的价格可通过市场调查、交易案例统计分析等方法简易估算。</w:t>
      </w:r>
    </w:p>
    <w:p w14:paraId="42B46FB9">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2.9专业评估师签字</w:t>
      </w:r>
    </w:p>
    <w:p w14:paraId="23705745">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由符合相关法律法规规定及管理要求的至少两名承办本次业务的专业评估师签字。</w:t>
      </w:r>
    </w:p>
    <w:p w14:paraId="4B539FBB">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2.10估价机构</w:t>
      </w:r>
    </w:p>
    <w:p w14:paraId="0C6CFAC7">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应由法定代表人签字或盖章，并加盖机构公章，载明报告出具日期；本项应与估价结果、专业评估师签字在同一页展示。</w:t>
      </w:r>
    </w:p>
    <w:p w14:paraId="14B4B094">
      <w:pPr>
        <w:kinsoku w:val="0"/>
        <w:autoSpaceDE w:val="0"/>
        <w:autoSpaceDN w:val="0"/>
        <w:adjustRightInd w:val="0"/>
        <w:snapToGrid w:val="0"/>
        <w:spacing w:line="580" w:lineRule="exact"/>
        <w:jc w:val="left"/>
        <w:textAlignment w:val="baseline"/>
        <w:outlineLvl w:val="1"/>
        <w:rPr>
          <w:rFonts w:hint="eastAsia" w:ascii="楷体_GB2312" w:hAnsi="楷体_GB2312" w:eastAsia="楷体_GB2312" w:cs="楷体_GB2312"/>
          <w:b/>
          <w:bCs/>
          <w:color w:val="000000"/>
          <w:kern w:val="21"/>
          <w:szCs w:val="32"/>
        </w:rPr>
      </w:pPr>
      <w:bookmarkStart w:id="421" w:name="_Toc121422660"/>
      <w:r>
        <w:rPr>
          <w:rFonts w:hint="eastAsia" w:ascii="FangSong_GB2312" w:hAnsi="FangSong_GB2312" w:cs="FangSong_GB2312"/>
          <w:b/>
          <w:bCs/>
          <w:color w:val="000000"/>
          <w:szCs w:val="32"/>
        </w:rPr>
        <w:t xml:space="preserve">   </w:t>
      </w:r>
      <w:r>
        <w:rPr>
          <w:rFonts w:hint="eastAsia" w:ascii="楷体_GB2312" w:hAnsi="楷体_GB2312" w:eastAsia="楷体_GB2312" w:cs="楷体_GB2312"/>
          <w:color w:val="000000"/>
          <w:kern w:val="21"/>
          <w:szCs w:val="32"/>
        </w:rPr>
        <w:t xml:space="preserve"> 3估价对象界定</w:t>
      </w:r>
      <w:bookmarkEnd w:id="421"/>
    </w:p>
    <w:p w14:paraId="68CEC4BE">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3.1委托估价方</w:t>
      </w:r>
    </w:p>
    <w:p w14:paraId="28B5493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应说明委托单位名称、与估价对象之间的关系、主营业务范围、单位地址、法定代表人、联系人和联系电话。</w:t>
      </w:r>
    </w:p>
    <w:p w14:paraId="23B2D624">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3.2估价对象</w:t>
      </w:r>
    </w:p>
    <w:p w14:paraId="6A5D7CB7">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应说明估价对象为自然资源资产包，列示资产包内所含资产清单。</w:t>
      </w:r>
    </w:p>
    <w:p w14:paraId="3AF9FB50">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3.3估价对象概况</w:t>
      </w:r>
    </w:p>
    <w:p w14:paraId="23298DEF">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①权利状况：应分别说明资产包内各资源权利的来源及状况。包括资源资产所有权、使用权或承包经营权，以及抵押权、担保权、地役权、租赁权等存续的其他权利及相邻关系等。</w:t>
      </w:r>
    </w:p>
    <w:p w14:paraId="30D95CB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②权能状况：</w:t>
      </w:r>
      <w:r>
        <w:rPr>
          <w:rFonts w:hint="eastAsia" w:ascii="FangSong_GB2312" w:hAnsi="FangSong_GB2312" w:cs="FangSong_GB2312"/>
          <w:color w:val="000000"/>
          <w:szCs w:val="32"/>
        </w:rPr>
        <w:t>应分别说明资产包内各资源权利上设置的权能内容。</w:t>
      </w:r>
    </w:p>
    <w:p w14:paraId="20DE3EAC">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③规划限制条件：</w:t>
      </w:r>
      <w:r>
        <w:rPr>
          <w:rFonts w:hint="eastAsia" w:ascii="FangSong_GB2312" w:hAnsi="FangSong_GB2312" w:cs="FangSong_GB2312"/>
          <w:color w:val="000000"/>
          <w:szCs w:val="32"/>
        </w:rPr>
        <w:t>应说明资产包内各资源权利（权能）的规划限制或经营限制条件。</w:t>
      </w:r>
    </w:p>
    <w:p w14:paraId="15B644BC">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3.4组合利用模式或方案说明</w:t>
      </w:r>
    </w:p>
    <w:p w14:paraId="15FF7A75">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以资产包的构成特征及规划限制条件为基础，说明资产包整体开发利用的模式或具体方案。</w:t>
      </w:r>
    </w:p>
    <w:p w14:paraId="022A19F4">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3.5资产包价格影响因素说明</w:t>
      </w:r>
    </w:p>
    <w:p w14:paraId="5660921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根据资产包的组合特征，选择重要影响因素进行描述、说明，除各类自然资源资产评估中应关注的价格影响因素外，还需注意以下内容：</w:t>
      </w:r>
    </w:p>
    <w:p w14:paraId="5B5E6543">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①关注资产包所在地区自然资源资产组合供应的相关规定、开发利用实践以及成交情况等宏观、中观层面的价格影响因素，以及待估资产包在区域中的相对位置，资产包内关联影响因素情况等微观层面的价格影响因素。</w:t>
      </w:r>
    </w:p>
    <w:p w14:paraId="5D5C51E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②应客观描述、用语规范、内涵准确，能够定量反映的宜用定量数据表述。</w:t>
      </w:r>
    </w:p>
    <w:p w14:paraId="639160F6">
      <w:pPr>
        <w:kinsoku w:val="0"/>
        <w:autoSpaceDE w:val="0"/>
        <w:autoSpaceDN w:val="0"/>
        <w:adjustRightInd w:val="0"/>
        <w:snapToGrid w:val="0"/>
        <w:spacing w:line="580" w:lineRule="exact"/>
        <w:jc w:val="left"/>
        <w:textAlignment w:val="baseline"/>
        <w:outlineLvl w:val="1"/>
        <w:rPr>
          <w:rFonts w:hint="eastAsia" w:ascii="FangSong_GB2312" w:hAnsi="FangSong_GB2312" w:cs="FangSong_GB2312"/>
          <w:b/>
          <w:bCs/>
          <w:color w:val="000000"/>
          <w:szCs w:val="32"/>
        </w:rPr>
      </w:pPr>
      <w:bookmarkStart w:id="422" w:name="_Toc121422661"/>
      <w:r>
        <w:rPr>
          <w:rFonts w:hint="eastAsia" w:ascii="FangSong_GB2312" w:hAnsi="FangSong_GB2312" w:cs="FangSong_GB2312"/>
          <w:b/>
          <w:bCs/>
          <w:color w:val="000000"/>
          <w:szCs w:val="32"/>
        </w:rPr>
        <w:t xml:space="preserve">    </w:t>
      </w:r>
      <w:r>
        <w:rPr>
          <w:rFonts w:hint="eastAsia" w:ascii="楷体_GB2312" w:hAnsi="楷体_GB2312" w:eastAsia="楷体_GB2312" w:cs="楷体_GB2312"/>
          <w:color w:val="000000"/>
          <w:kern w:val="21"/>
          <w:szCs w:val="32"/>
        </w:rPr>
        <w:t>4估价结果及其使用</w:t>
      </w:r>
      <w:bookmarkEnd w:id="422"/>
    </w:p>
    <w:p w14:paraId="4A9F769E">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4.1估价依据</w:t>
      </w:r>
    </w:p>
    <w:p w14:paraId="3B9CBB73">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主要针对估价行为和估价过程中与估价目的有关的依据、法律法规、政策文件，以及技术规范等进行说明，也包括必要的确认估价对象权属的相关文件，以及现场调查资料等。</w:t>
      </w:r>
    </w:p>
    <w:p w14:paraId="2E35E13C">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4.2自然资源资产包估价</w:t>
      </w:r>
    </w:p>
    <w:p w14:paraId="5094090D">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①估价原则：除自然资源资产包内各自然资源资产估价的一般性原则外，还应从资产包整体开发利用的角度，在评估过程中关注并体现可续利用原则、整体统筹原则、交换价值主导原则。</w:t>
      </w:r>
    </w:p>
    <w:p w14:paraId="4A86F33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②估价模式与方法：说明采用的评估模式与具体评估方法，前者包括分估、合估两种模式，后者为各类自然资源评估技术体系中的既有评估方法；应具体说明估价方法选择的理由；采用合估模式时，还应说明在合估总价基础上，拆分确定各门类自然资源资产价格的方法。</w:t>
      </w:r>
    </w:p>
    <w:p w14:paraId="343A18E3">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③估价结果：应说明每种估价方法的估价结果、最终估价结果。</w:t>
      </w:r>
    </w:p>
    <w:p w14:paraId="69EAC18F">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4.3估价结果和估价报告使用</w:t>
      </w:r>
    </w:p>
    <w:p w14:paraId="08534DBE">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除各自然资源资产估价技术规程的要求外，还应具体说明各项自然资源资产权利或权能的假设条件(包括：各权能经营业态的假设、投资规模的假设、收益期假设等)，当某具体权能或利用方式在现行政策环境中存在较高的实现风险时，应给出风险提示；若自然资源资产包的整体价格低于各门类自然资源资产单独供应时的价格之和，应进行风险披露；明确报告使用权限和使用有效期。</w:t>
      </w:r>
    </w:p>
    <w:p w14:paraId="38E27CB0">
      <w:pPr>
        <w:kinsoku w:val="0"/>
        <w:autoSpaceDE w:val="0"/>
        <w:autoSpaceDN w:val="0"/>
        <w:adjustRightInd w:val="0"/>
        <w:snapToGrid w:val="0"/>
        <w:spacing w:line="580" w:lineRule="exact"/>
        <w:jc w:val="left"/>
        <w:textAlignment w:val="baseline"/>
        <w:outlineLvl w:val="1"/>
        <w:rPr>
          <w:rFonts w:hint="eastAsia" w:ascii="黑体" w:hAnsi="黑体" w:eastAsia="黑体" w:cs="黑体"/>
          <w:color w:val="000000"/>
          <w:szCs w:val="32"/>
        </w:rPr>
      </w:pPr>
      <w:bookmarkStart w:id="423" w:name="_Toc121422662"/>
      <w:r>
        <w:rPr>
          <w:rFonts w:hint="eastAsia" w:ascii="黑体" w:hAnsi="黑体" w:eastAsia="黑体" w:cs="黑体"/>
          <w:color w:val="000000"/>
          <w:szCs w:val="32"/>
        </w:rPr>
        <w:t xml:space="preserve">    </w:t>
      </w:r>
      <w:r>
        <w:rPr>
          <w:rFonts w:hint="eastAsia" w:ascii="楷体_GB2312" w:hAnsi="楷体_GB2312" w:eastAsia="楷体_GB2312" w:cs="楷体_GB2312"/>
          <w:color w:val="000000"/>
          <w:kern w:val="21"/>
          <w:szCs w:val="32"/>
        </w:rPr>
        <w:t>5附件</w:t>
      </w:r>
      <w:bookmarkEnd w:id="423"/>
    </w:p>
    <w:p w14:paraId="0E4A55C4">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①估价委托书。</w:t>
      </w:r>
    </w:p>
    <w:p w14:paraId="2AE470AC">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②委托方法人机构统一社会信用</w:t>
      </w:r>
      <w:bookmarkStart w:id="481" w:name="_GoBack"/>
      <w:bookmarkEnd w:id="481"/>
      <w:r>
        <w:rPr>
          <w:rFonts w:hint="eastAsia" w:ascii="FangSong_GB2312" w:hAnsi="FangSong_GB2312" w:cs="FangSong_GB2312"/>
          <w:color w:val="000000"/>
          <w:szCs w:val="32"/>
        </w:rPr>
        <w:t>代码证。</w:t>
      </w:r>
    </w:p>
    <w:p w14:paraId="4CEFB8C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③估价对象权属证明材料、开发利用条件或规划证明材料等</w:t>
      </w:r>
    </w:p>
    <w:p w14:paraId="31BD364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④估价对象区域位置图和平面布置图。</w:t>
      </w:r>
    </w:p>
    <w:p w14:paraId="171341A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⑤估价对象及比较案例照片。</w:t>
      </w:r>
    </w:p>
    <w:p w14:paraId="74D2D60F">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⑥专业评估师现场勘查照片。</w:t>
      </w:r>
    </w:p>
    <w:p w14:paraId="2E05CD1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⑦尽职调查记录表。</w:t>
      </w:r>
    </w:p>
    <w:p w14:paraId="7C854442">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⑧估价机构的营业执照、估价机构备案函。</w:t>
      </w:r>
    </w:p>
    <w:p w14:paraId="7F413544">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⑨签字专业评估师资格证书复印件。</w:t>
      </w:r>
    </w:p>
    <w:p w14:paraId="00EE3BE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⑩其他相关材料的复印件。</w:t>
      </w:r>
    </w:p>
    <w:p w14:paraId="099CBF11">
      <w:pPr>
        <w:pStyle w:val="60"/>
        <w:spacing w:before="0" w:beforeLines="0" w:after="0" w:afterLines="0" w:line="580" w:lineRule="exact"/>
        <w:ind w:firstLine="640" w:firstLineChars="200"/>
        <w:jc w:val="left"/>
        <w:rPr>
          <w:rFonts w:hint="eastAsia" w:hAnsi="黑体" w:cs="黑体"/>
          <w:sz w:val="32"/>
          <w:szCs w:val="32"/>
        </w:rPr>
      </w:pPr>
      <w:r>
        <w:rPr>
          <w:rFonts w:hint="eastAsia" w:hAnsi="黑体" w:cs="黑体"/>
          <w:sz w:val="32"/>
          <w:szCs w:val="32"/>
        </w:rPr>
        <w:t>A.2</w:t>
      </w:r>
      <w:bookmarkStart w:id="424" w:name="_Toc134621256"/>
      <w:bookmarkStart w:id="425" w:name="_Toc171693142"/>
      <w:bookmarkStart w:id="426" w:name="_Toc132185155"/>
      <w:bookmarkStart w:id="427" w:name="_Toc132185024"/>
      <w:bookmarkStart w:id="428" w:name="_Toc132290195"/>
      <w:bookmarkStart w:id="429" w:name="_Toc132183639"/>
      <w:bookmarkStart w:id="430" w:name="_Toc134085069"/>
      <w:bookmarkStart w:id="431" w:name="_Toc132185089"/>
      <w:bookmarkStart w:id="432" w:name="_Toc132285922"/>
      <w:bookmarkStart w:id="433" w:name="_Toc132185353"/>
      <w:bookmarkStart w:id="434" w:name="_Toc132185221"/>
      <w:bookmarkStart w:id="435" w:name="_Toc132269082"/>
      <w:bookmarkStart w:id="436" w:name="_Toc144476374"/>
      <w:r>
        <w:rPr>
          <w:rFonts w:hint="eastAsia" w:hAnsi="黑体" w:cs="黑体"/>
          <w:sz w:val="32"/>
          <w:szCs w:val="32"/>
        </w:rPr>
        <w:t>《估价技术报告（评估工作底稿）》撰写提纲</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1403B79A">
      <w:pPr>
        <w:kinsoku w:val="0"/>
        <w:autoSpaceDE w:val="0"/>
        <w:autoSpaceDN w:val="0"/>
        <w:adjustRightInd w:val="0"/>
        <w:snapToGrid w:val="0"/>
        <w:spacing w:line="580" w:lineRule="exact"/>
        <w:ind w:firstLine="640" w:firstLineChars="200"/>
        <w:jc w:val="left"/>
        <w:textAlignment w:val="baseline"/>
        <w:outlineLvl w:val="1"/>
        <w:rPr>
          <w:rFonts w:hint="eastAsia" w:ascii="楷体_GB2312" w:hAnsi="楷体_GB2312" w:eastAsia="楷体_GB2312" w:cs="楷体_GB2312"/>
          <w:color w:val="000000"/>
          <w:szCs w:val="32"/>
        </w:rPr>
      </w:pPr>
      <w:bookmarkStart w:id="437" w:name="_Toc171693143"/>
      <w:r>
        <w:rPr>
          <w:rFonts w:hint="eastAsia" w:ascii="楷体_GB2312" w:hAnsi="楷体_GB2312" w:eastAsia="楷体_GB2312" w:cs="楷体_GB2312"/>
          <w:color w:val="000000"/>
          <w:szCs w:val="32"/>
        </w:rPr>
        <w:t>1自然资源资产组合估价技术报告封面</w:t>
      </w:r>
      <w:bookmarkEnd w:id="437"/>
    </w:p>
    <w:p w14:paraId="2471FB11">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38" w:name="_Toc171693144"/>
      <w:r>
        <w:rPr>
          <w:rFonts w:hint="eastAsia" w:ascii="FangSong_GB2312" w:hAnsi="FangSong_GB2312" w:eastAsia="FangSong_GB2312" w:cs="FangSong_GB2312"/>
          <w:sz w:val="32"/>
          <w:szCs w:val="32"/>
        </w:rPr>
        <w:t>1.1项目名称</w:t>
      </w:r>
      <w:bookmarkEnd w:id="438"/>
    </w:p>
    <w:p w14:paraId="5F01D510">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39" w:name="_Toc171693145"/>
      <w:r>
        <w:rPr>
          <w:rFonts w:hint="eastAsia" w:ascii="FangSong_GB2312" w:hAnsi="FangSong_GB2312" w:eastAsia="FangSong_GB2312" w:cs="FangSong_GB2312"/>
          <w:snapToGrid w:val="0"/>
          <w:color w:val="000000"/>
          <w:kern w:val="0"/>
          <w:sz w:val="32"/>
          <w:szCs w:val="32"/>
        </w:rPr>
        <w:t>估价项目全称后加括号注明估价对象所在市、区全名，如“××市（区）”字样。</w:t>
      </w:r>
      <w:bookmarkEnd w:id="439"/>
    </w:p>
    <w:p w14:paraId="3C32EAF0">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0" w:name="_Toc171693146"/>
      <w:r>
        <w:rPr>
          <w:rFonts w:ascii="FangSong_GB2312" w:hAnsi="FangSong_GB2312" w:eastAsia="FangSong_GB2312" w:cs="FangSong_GB2312"/>
          <w:sz w:val="32"/>
          <w:szCs w:val="32"/>
        </w:rPr>
        <w:t>1.2受托估价单位</w:t>
      </w:r>
      <w:bookmarkEnd w:id="440"/>
    </w:p>
    <w:p w14:paraId="327CC1DF">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1" w:name="_Toc171693148"/>
      <w:r>
        <w:rPr>
          <w:rFonts w:ascii="FangSong_GB2312" w:hAnsi="FangSong_GB2312" w:eastAsia="FangSong_GB2312" w:cs="FangSong_GB2312"/>
          <w:sz w:val="32"/>
          <w:szCs w:val="32"/>
        </w:rPr>
        <w:t>1.3自然资源资产组合估价报告编号</w:t>
      </w:r>
      <w:bookmarkEnd w:id="441"/>
    </w:p>
    <w:p w14:paraId="68279FF4">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2" w:name="_Toc171693150"/>
      <w:r>
        <w:rPr>
          <w:rFonts w:ascii="FangSong_GB2312" w:hAnsi="FangSong_GB2312" w:eastAsia="FangSong_GB2312" w:cs="FangSong_GB2312"/>
          <w:sz w:val="32"/>
          <w:szCs w:val="32"/>
        </w:rPr>
        <w:t>1.4自然资源资产组合估价技术报告（评估工作底稿）编号</w:t>
      </w:r>
      <w:bookmarkEnd w:id="442"/>
    </w:p>
    <w:p w14:paraId="214BC2EB">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43" w:name="_Toc171693151"/>
      <w:r>
        <w:rPr>
          <w:rFonts w:hint="eastAsia" w:ascii="FangSong_GB2312" w:hAnsi="FangSong_GB2312" w:eastAsia="FangSong_GB2312" w:cs="FangSong_GB2312"/>
          <w:snapToGrid w:val="0"/>
          <w:color w:val="000000"/>
          <w:kern w:val="0"/>
          <w:sz w:val="32"/>
          <w:szCs w:val="32"/>
        </w:rPr>
        <w:t>应说明估价机构对该项目的技术编号，含有“（地名）估价机构简称（年度）组合供应（技）字第××号”等字样，其中年度为提交自然资源资产组合估价报告日期所在年度</w:t>
      </w:r>
      <w:bookmarkEnd w:id="443"/>
      <w:r>
        <w:rPr>
          <w:rFonts w:hint="eastAsia" w:ascii="FangSong_GB2312" w:hAnsi="FangSong_GB2312" w:eastAsia="FangSong_GB2312" w:cs="FangSong_GB2312"/>
          <w:snapToGrid w:val="0"/>
          <w:color w:val="000000"/>
          <w:kern w:val="0"/>
          <w:sz w:val="32"/>
          <w:szCs w:val="32"/>
        </w:rPr>
        <w:t>；当对各门类自然资源分别编写估价技术报告时，编号应能够体现关联性。</w:t>
      </w:r>
    </w:p>
    <w:p w14:paraId="0C8E9B01">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4" w:name="_Toc171693152"/>
      <w:r>
        <w:rPr>
          <w:rFonts w:ascii="FangSong_GB2312" w:hAnsi="FangSong_GB2312" w:eastAsia="FangSong_GB2312" w:cs="FangSong_GB2312"/>
          <w:sz w:val="32"/>
          <w:szCs w:val="32"/>
        </w:rPr>
        <w:t>1.5电子备案编号</w:t>
      </w:r>
      <w:bookmarkEnd w:id="444"/>
    </w:p>
    <w:p w14:paraId="0C1F3702">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5" w:name="_Toc171693154"/>
      <w:r>
        <w:rPr>
          <w:rFonts w:ascii="FangSong_GB2312" w:hAnsi="FangSong_GB2312" w:eastAsia="FangSong_GB2312" w:cs="FangSong_GB2312"/>
          <w:sz w:val="32"/>
          <w:szCs w:val="32"/>
        </w:rPr>
        <w:t>1.6提交估价报告日期</w:t>
      </w:r>
      <w:bookmarkEnd w:id="445"/>
    </w:p>
    <w:p w14:paraId="2497AD31">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6" w:name="_Toc171693156"/>
      <w:r>
        <w:rPr>
          <w:rFonts w:ascii="FangSong_GB2312" w:hAnsi="FangSong_GB2312" w:eastAsia="FangSong_GB2312" w:cs="FangSong_GB2312"/>
          <w:sz w:val="32"/>
          <w:szCs w:val="32"/>
        </w:rPr>
        <w:t>1.7关键词</w:t>
      </w:r>
      <w:bookmarkEnd w:id="446"/>
    </w:p>
    <w:p w14:paraId="56CA8FFB">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47" w:name="_Toc171693157"/>
      <w:r>
        <w:rPr>
          <w:rFonts w:hint="eastAsia" w:ascii="FangSong_GB2312" w:hAnsi="FangSong_GB2312" w:eastAsia="FangSong_GB2312" w:cs="FangSong_GB2312"/>
          <w:snapToGrid w:val="0"/>
          <w:color w:val="000000"/>
          <w:kern w:val="0"/>
          <w:sz w:val="32"/>
          <w:szCs w:val="32"/>
        </w:rPr>
        <w:t>①估价对象所在市、区全名，与项目名称中市、区全名一致；</w:t>
      </w:r>
      <w:bookmarkEnd w:id="447"/>
    </w:p>
    <w:p w14:paraId="36E5EAEC">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48" w:name="_Toc171693158"/>
      <w:r>
        <w:rPr>
          <w:rFonts w:hint="eastAsia" w:ascii="FangSong_GB2312" w:hAnsi="FangSong_GB2312" w:eastAsia="FangSong_GB2312" w:cs="FangSong_GB2312"/>
          <w:snapToGrid w:val="0"/>
          <w:color w:val="000000"/>
          <w:kern w:val="0"/>
          <w:sz w:val="32"/>
          <w:szCs w:val="32"/>
        </w:rPr>
        <w:t>②估价目的，应简要说明本次评估的估价目的，如“出让”等；</w:t>
      </w:r>
      <w:bookmarkEnd w:id="448"/>
    </w:p>
    <w:p w14:paraId="340B02E4">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49" w:name="_Toc171693159"/>
      <w:r>
        <w:rPr>
          <w:rFonts w:hint="eastAsia" w:ascii="FangSong_GB2312" w:hAnsi="FangSong_GB2312" w:eastAsia="FangSong_GB2312" w:cs="FangSong_GB2312"/>
          <w:snapToGrid w:val="0"/>
          <w:color w:val="000000"/>
          <w:kern w:val="0"/>
          <w:sz w:val="32"/>
          <w:szCs w:val="32"/>
        </w:rPr>
        <w:t>③估价机构，说明估价机构全称；</w:t>
      </w:r>
      <w:bookmarkEnd w:id="449"/>
    </w:p>
    <w:p w14:paraId="61CA8659">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50" w:name="_Toc171693160"/>
      <w:r>
        <w:rPr>
          <w:rFonts w:hint="eastAsia" w:ascii="FangSong_GB2312" w:hAnsi="FangSong_GB2312" w:eastAsia="FangSong_GB2312" w:cs="FangSong_GB2312"/>
          <w:snapToGrid w:val="0"/>
          <w:color w:val="000000"/>
          <w:kern w:val="0"/>
          <w:sz w:val="32"/>
          <w:szCs w:val="32"/>
        </w:rPr>
        <w:t>④年度，说明提交自然资源资产组合估价报告日期所在年度。</w:t>
      </w:r>
      <w:bookmarkEnd w:id="450"/>
    </w:p>
    <w:p w14:paraId="132104EF">
      <w:pPr>
        <w:kinsoku w:val="0"/>
        <w:autoSpaceDE w:val="0"/>
        <w:autoSpaceDN w:val="0"/>
        <w:adjustRightInd w:val="0"/>
        <w:snapToGrid w:val="0"/>
        <w:spacing w:line="580" w:lineRule="exact"/>
        <w:ind w:firstLine="640" w:firstLineChars="200"/>
        <w:jc w:val="left"/>
        <w:textAlignment w:val="baseline"/>
        <w:outlineLvl w:val="1"/>
        <w:rPr>
          <w:rFonts w:hint="eastAsia" w:ascii="楷体_GB2312" w:hAnsi="楷体_GB2312" w:eastAsia="楷体_GB2312" w:cs="楷体_GB2312"/>
          <w:color w:val="000000"/>
          <w:szCs w:val="32"/>
        </w:rPr>
      </w:pPr>
      <w:bookmarkStart w:id="451" w:name="_Toc171693161"/>
      <w:r>
        <w:rPr>
          <w:rFonts w:hint="eastAsia" w:ascii="楷体_GB2312" w:hAnsi="楷体_GB2312" w:eastAsia="楷体_GB2312" w:cs="楷体_GB2312"/>
          <w:color w:val="000000"/>
          <w:szCs w:val="32"/>
        </w:rPr>
        <w:t>2总述</w:t>
      </w:r>
      <w:bookmarkEnd w:id="451"/>
    </w:p>
    <w:p w14:paraId="58E01412">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52" w:name="_Toc171693162"/>
      <w:r>
        <w:rPr>
          <w:rFonts w:ascii="FangSong_GB2312" w:hAnsi="FangSong_GB2312" w:eastAsia="FangSong_GB2312" w:cs="FangSong_GB2312"/>
          <w:sz w:val="32"/>
          <w:szCs w:val="32"/>
        </w:rPr>
        <w:t>2.1估价项目名称</w:t>
      </w:r>
      <w:bookmarkEnd w:id="452"/>
    </w:p>
    <w:p w14:paraId="433284EA">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53" w:name="_Toc171693164"/>
      <w:r>
        <w:rPr>
          <w:rFonts w:ascii="FangSong_GB2312" w:hAnsi="FangSong_GB2312" w:eastAsia="FangSong_GB2312" w:cs="FangSong_GB2312"/>
          <w:sz w:val="32"/>
          <w:szCs w:val="32"/>
        </w:rPr>
        <w:t>2.2委托估价方</w:t>
      </w:r>
      <w:bookmarkEnd w:id="453"/>
    </w:p>
    <w:p w14:paraId="2CC7685E">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54" w:name="_Toc171693166"/>
      <w:r>
        <w:rPr>
          <w:rFonts w:ascii="FangSong_GB2312" w:hAnsi="FangSong_GB2312" w:eastAsia="FangSong_GB2312" w:cs="FangSong_GB2312"/>
          <w:sz w:val="32"/>
          <w:szCs w:val="32"/>
        </w:rPr>
        <w:t>2.3受托估价方</w:t>
      </w:r>
      <w:bookmarkEnd w:id="454"/>
    </w:p>
    <w:p w14:paraId="4A5C69AF">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55" w:name="_Toc171693167"/>
      <w:r>
        <w:rPr>
          <w:rFonts w:hint="eastAsia" w:ascii="FangSong_GB2312" w:hAnsi="FangSong_GB2312" w:eastAsia="FangSong_GB2312" w:cs="FangSong_GB2312"/>
          <w:snapToGrid w:val="0"/>
          <w:color w:val="000000"/>
          <w:kern w:val="0"/>
          <w:sz w:val="32"/>
          <w:szCs w:val="32"/>
        </w:rPr>
        <w:t>应说明该项估价的受托估价机构、机构地址、估价机构资格及机构备案函获得时间、估价资格有效期、资格证书编号、法定代表人、联系人、联系电话等。</w:t>
      </w:r>
      <w:bookmarkEnd w:id="455"/>
    </w:p>
    <w:p w14:paraId="7787C380">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56" w:name="_Toc171693168"/>
      <w:r>
        <w:rPr>
          <w:rFonts w:ascii="FangSong_GB2312" w:hAnsi="FangSong_GB2312" w:eastAsia="FangSong_GB2312" w:cs="FangSong_GB2312"/>
          <w:sz w:val="32"/>
          <w:szCs w:val="32"/>
        </w:rPr>
        <w:t>2.4估价目的</w:t>
      </w:r>
      <w:bookmarkEnd w:id="456"/>
    </w:p>
    <w:p w14:paraId="1CB40F1D">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57" w:name="_Toc171693169"/>
      <w:r>
        <w:rPr>
          <w:rFonts w:hint="eastAsia" w:ascii="FangSong_GB2312" w:hAnsi="FangSong_GB2312" w:eastAsia="FangSong_GB2312" w:cs="FangSong_GB2312"/>
          <w:snapToGrid w:val="0"/>
          <w:color w:val="000000"/>
          <w:kern w:val="0"/>
          <w:sz w:val="32"/>
          <w:szCs w:val="32"/>
        </w:rPr>
        <w:t>可适当增加对经济活动相关背景的说明。</w:t>
      </w:r>
      <w:bookmarkEnd w:id="457"/>
    </w:p>
    <w:p w14:paraId="1A7FC7FC">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58" w:name="_Toc171693170"/>
      <w:r>
        <w:rPr>
          <w:rFonts w:ascii="FangSong_GB2312" w:hAnsi="FangSong_GB2312" w:eastAsia="FangSong_GB2312" w:cs="FangSong_GB2312"/>
          <w:sz w:val="32"/>
          <w:szCs w:val="32"/>
        </w:rPr>
        <w:t>2.5估价依据</w:t>
      </w:r>
      <w:bookmarkEnd w:id="458"/>
    </w:p>
    <w:p w14:paraId="6DCBE0F9">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59" w:name="_Toc171693172"/>
      <w:r>
        <w:rPr>
          <w:rFonts w:ascii="FangSong_GB2312" w:hAnsi="FangSong_GB2312" w:eastAsia="FangSong_GB2312" w:cs="FangSong_GB2312"/>
          <w:sz w:val="32"/>
          <w:szCs w:val="32"/>
        </w:rPr>
        <w:t>2.6估价期日</w:t>
      </w:r>
      <w:bookmarkEnd w:id="459"/>
    </w:p>
    <w:p w14:paraId="2CF1346B">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60" w:name="_Toc171693174"/>
      <w:r>
        <w:rPr>
          <w:rFonts w:ascii="FangSong_GB2312" w:hAnsi="FangSong_GB2312" w:eastAsia="FangSong_GB2312" w:cs="FangSong_GB2312"/>
          <w:sz w:val="32"/>
          <w:szCs w:val="32"/>
        </w:rPr>
        <w:t>2.7估价日期</w:t>
      </w:r>
      <w:bookmarkEnd w:id="460"/>
    </w:p>
    <w:p w14:paraId="6CAE4D5A">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61" w:name="_Toc171693176"/>
      <w:r>
        <w:rPr>
          <w:rFonts w:ascii="FangSong_GB2312" w:hAnsi="FangSong_GB2312" w:eastAsia="FangSong_GB2312" w:cs="FangSong_GB2312"/>
          <w:sz w:val="32"/>
          <w:szCs w:val="32"/>
        </w:rPr>
        <w:t>2.8价格定义</w:t>
      </w:r>
      <w:bookmarkEnd w:id="461"/>
    </w:p>
    <w:p w14:paraId="1A3A633A">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62" w:name="_Toc171693178"/>
      <w:r>
        <w:rPr>
          <w:rFonts w:ascii="FangSong_GB2312" w:hAnsi="FangSong_GB2312" w:eastAsia="FangSong_GB2312" w:cs="FangSong_GB2312"/>
          <w:sz w:val="32"/>
          <w:szCs w:val="32"/>
        </w:rPr>
        <w:t>2.9估价结果</w:t>
      </w:r>
      <w:bookmarkEnd w:id="462"/>
    </w:p>
    <w:p w14:paraId="1B407D6B">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63" w:name="_Toc171693180"/>
      <w:r>
        <w:rPr>
          <w:rFonts w:ascii="FangSong_GB2312" w:hAnsi="FangSong_GB2312" w:eastAsia="FangSong_GB2312" w:cs="FangSong_GB2312"/>
          <w:sz w:val="32"/>
          <w:szCs w:val="32"/>
        </w:rPr>
        <w:t>2.10需要特殊说明事项</w:t>
      </w:r>
      <w:bookmarkEnd w:id="463"/>
    </w:p>
    <w:p w14:paraId="55736BCA">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64" w:name="_Toc171693182"/>
      <w:r>
        <w:rPr>
          <w:rFonts w:ascii="FangSong_GB2312" w:hAnsi="FangSong_GB2312" w:eastAsia="FangSong_GB2312" w:cs="FangSong_GB2312"/>
          <w:sz w:val="32"/>
          <w:szCs w:val="32"/>
        </w:rPr>
        <w:t>2.11专业评估师签字</w:t>
      </w:r>
      <w:bookmarkEnd w:id="464"/>
    </w:p>
    <w:p w14:paraId="10899CF5">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65" w:name="_Toc171693184"/>
      <w:r>
        <w:rPr>
          <w:rFonts w:hint="eastAsia" w:ascii="FangSong_GB2312" w:hAnsi="FangSong_GB2312" w:eastAsia="FangSong_GB2312" w:cs="FangSong_GB2312"/>
          <w:sz w:val="32"/>
          <w:szCs w:val="32"/>
        </w:rPr>
        <w:t>2.12 估价机构</w:t>
      </w:r>
      <w:bookmarkEnd w:id="465"/>
    </w:p>
    <w:p w14:paraId="053B3D36">
      <w:pPr>
        <w:kinsoku w:val="0"/>
        <w:autoSpaceDE w:val="0"/>
        <w:autoSpaceDN w:val="0"/>
        <w:adjustRightInd w:val="0"/>
        <w:snapToGrid w:val="0"/>
        <w:spacing w:line="580" w:lineRule="exact"/>
        <w:ind w:firstLine="640" w:firstLineChars="200"/>
        <w:jc w:val="left"/>
        <w:textAlignment w:val="baseline"/>
        <w:outlineLvl w:val="1"/>
        <w:rPr>
          <w:rFonts w:hint="eastAsia" w:ascii="楷体_GB2312" w:hAnsi="楷体_GB2312" w:eastAsia="楷体_GB2312" w:cs="楷体_GB2312"/>
          <w:color w:val="000000"/>
          <w:szCs w:val="32"/>
        </w:rPr>
      </w:pPr>
      <w:bookmarkStart w:id="466" w:name="_Toc171693186"/>
      <w:r>
        <w:rPr>
          <w:rFonts w:hint="eastAsia" w:ascii="楷体_GB2312" w:hAnsi="楷体_GB2312" w:eastAsia="楷体_GB2312" w:cs="楷体_GB2312"/>
          <w:color w:val="000000"/>
          <w:szCs w:val="32"/>
        </w:rPr>
        <w:t>3估价对象描述及资产包价格影响因素分析</w:t>
      </w:r>
      <w:bookmarkEnd w:id="466"/>
    </w:p>
    <w:p w14:paraId="48E5EF0C">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67" w:name="_Toc171693187"/>
      <w:r>
        <w:rPr>
          <w:rFonts w:ascii="FangSong_GB2312" w:hAnsi="FangSong_GB2312" w:eastAsia="FangSong_GB2312" w:cs="FangSong_GB2312"/>
          <w:sz w:val="32"/>
          <w:szCs w:val="32"/>
        </w:rPr>
        <w:t>3.1估价对象描述</w:t>
      </w:r>
      <w:bookmarkEnd w:id="467"/>
    </w:p>
    <w:p w14:paraId="4933F961">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68" w:name="_Toc171693188"/>
      <w:r>
        <w:rPr>
          <w:rFonts w:hint="eastAsia" w:ascii="FangSong_GB2312" w:hAnsi="FangSong_GB2312" w:eastAsia="FangSong_GB2312" w:cs="FangSong_GB2312"/>
          <w:snapToGrid w:val="0"/>
          <w:color w:val="000000"/>
          <w:kern w:val="0"/>
          <w:sz w:val="32"/>
          <w:szCs w:val="32"/>
        </w:rPr>
        <w:t>列示资产包内所含资产清单；具体说明资产包内各门类自然资源实体要素各自的空间位置、范围（边界）及其相互关联性等，并就以下内容进行阐述说明：</w:t>
      </w:r>
    </w:p>
    <w:p w14:paraId="74C320BC">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①权利状况：</w:t>
      </w:r>
      <w:r>
        <w:rPr>
          <w:rFonts w:hint="eastAsia" w:ascii="FangSong_GB2312" w:hAnsi="FangSong_GB2312" w:cs="FangSong_GB2312"/>
          <w:color w:val="000000"/>
          <w:szCs w:val="32"/>
        </w:rPr>
        <w:t>应分别说明资产包内各资源权利的来源及状况。包括资源资产所有权、使用权或承包经营权，以及抵押权、担保权、地役权、租赁权等存续的其他权利及相邻关系等。</w:t>
      </w:r>
    </w:p>
    <w:p w14:paraId="7A89CBA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②权能状况：</w:t>
      </w:r>
      <w:r>
        <w:rPr>
          <w:rFonts w:hint="eastAsia" w:ascii="FangSong_GB2312" w:hAnsi="FangSong_GB2312" w:cs="FangSong_GB2312"/>
          <w:color w:val="000000"/>
          <w:szCs w:val="32"/>
        </w:rPr>
        <w:t>应分别说明资产包内各资源权利上设置的权能内容。</w:t>
      </w:r>
    </w:p>
    <w:p w14:paraId="11BA438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③规划限制条件：</w:t>
      </w:r>
      <w:r>
        <w:rPr>
          <w:rFonts w:hint="eastAsia" w:ascii="FangSong_GB2312" w:hAnsi="FangSong_GB2312" w:cs="FangSong_GB2312"/>
          <w:color w:val="000000"/>
          <w:szCs w:val="32"/>
        </w:rPr>
        <w:t>应说明资产包内各资源权利（权能）的规划限制或经营限制条件。</w:t>
      </w:r>
    </w:p>
    <w:bookmarkEnd w:id="468"/>
    <w:p w14:paraId="3F2DDF2F">
      <w:pPr>
        <w:pStyle w:val="36"/>
        <w:widowControl w:val="0"/>
        <w:spacing w:line="580" w:lineRule="exact"/>
        <w:ind w:firstLine="640"/>
        <w:jc w:val="left"/>
        <w:rPr>
          <w:rFonts w:ascii="FangSong_GB2312" w:hAnsi="FangSong_GB2312" w:eastAsia="FangSong_GB2312" w:cs="FangSong_GB2312"/>
          <w:snapToGrid/>
          <w:color w:val="auto"/>
          <w:kern w:val="21"/>
          <w:sz w:val="32"/>
          <w:szCs w:val="32"/>
        </w:rPr>
      </w:pPr>
      <w:r>
        <w:rPr>
          <w:rFonts w:ascii="FangSong_GB2312" w:hAnsi="FangSong_GB2312" w:eastAsia="FangSong_GB2312" w:cs="FangSong_GB2312"/>
          <w:snapToGrid/>
          <w:color w:val="auto"/>
          <w:kern w:val="21"/>
          <w:sz w:val="32"/>
          <w:szCs w:val="32"/>
        </w:rPr>
        <w:t>3.2组合利用模式或方案说明</w:t>
      </w:r>
    </w:p>
    <w:p w14:paraId="709E7CF5">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69" w:name="_Toc171693189"/>
      <w:r>
        <w:rPr>
          <w:rFonts w:hint="eastAsia" w:ascii="FangSong_GB2312" w:hAnsi="FangSong_GB2312" w:eastAsia="FangSong_GB2312" w:cs="FangSong_GB2312"/>
          <w:color w:val="000000"/>
          <w:sz w:val="32"/>
          <w:szCs w:val="32"/>
        </w:rPr>
        <w:t>以资产包的构成特征及规划限制条件为基础，说明资产包整体开发利用的模式或具体方案</w:t>
      </w:r>
      <w:r>
        <w:rPr>
          <w:rFonts w:hint="eastAsia" w:ascii="FangSong_GB2312" w:hAnsi="FangSong_GB2312" w:eastAsia="FangSong_GB2312" w:cs="FangSong_GB2312"/>
          <w:snapToGrid w:val="0"/>
          <w:color w:val="000000"/>
          <w:kern w:val="0"/>
          <w:sz w:val="32"/>
          <w:szCs w:val="32"/>
        </w:rPr>
        <w:t>，并增加说明组合利用模式或方案对评估对象是否会产生组合效应影响及主要影响情况等。</w:t>
      </w:r>
    </w:p>
    <w:p w14:paraId="32C4020F">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3.3资产包价格影响因素分析</w:t>
      </w:r>
      <w:bookmarkEnd w:id="469"/>
    </w:p>
    <w:p w14:paraId="41E08E85">
      <w:pPr>
        <w:pStyle w:val="60"/>
        <w:spacing w:before="0" w:beforeLines="0" w:after="0" w:afterLines="0" w:line="580" w:lineRule="exact"/>
        <w:ind w:firstLine="640" w:firstLineChars="200"/>
        <w:jc w:val="left"/>
        <w:rPr>
          <w:rFonts w:hint="eastAsia" w:ascii="FangSong_GB2312" w:hAnsi="FangSong_GB2312" w:eastAsia="FangSong_GB2312" w:cs="FangSong_GB2312"/>
          <w:b/>
          <w:bCs/>
          <w:color w:val="000000"/>
          <w:sz w:val="32"/>
          <w:szCs w:val="32"/>
        </w:rPr>
      </w:pPr>
      <w:r>
        <w:rPr>
          <w:rFonts w:hint="eastAsia" w:ascii="FangSong_GB2312" w:hAnsi="FangSong_GB2312" w:eastAsia="FangSong_GB2312" w:cs="FangSong_GB2312"/>
          <w:snapToGrid w:val="0"/>
          <w:color w:val="000000"/>
          <w:kern w:val="0"/>
          <w:sz w:val="32"/>
          <w:szCs w:val="32"/>
        </w:rPr>
        <w:t>在因素描述说明的基础上，重点分析各类影响因素对评估对象价格的影响。</w:t>
      </w:r>
      <w:bookmarkStart w:id="470" w:name="_Toc171693191"/>
    </w:p>
    <w:p w14:paraId="49387964">
      <w:pPr>
        <w:kinsoku w:val="0"/>
        <w:autoSpaceDE w:val="0"/>
        <w:autoSpaceDN w:val="0"/>
        <w:adjustRightInd w:val="0"/>
        <w:snapToGrid w:val="0"/>
        <w:spacing w:line="580" w:lineRule="exact"/>
        <w:ind w:firstLine="640" w:firstLineChars="200"/>
        <w:jc w:val="left"/>
        <w:textAlignment w:val="baseline"/>
        <w:outlineLvl w:val="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4自然资源资产组合包整体估价</w:t>
      </w:r>
      <w:bookmarkEnd w:id="470"/>
    </w:p>
    <w:p w14:paraId="4F4DECA2">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71" w:name="_Toc171693192"/>
      <w:r>
        <w:rPr>
          <w:rFonts w:hint="eastAsia" w:ascii="FangSong_GB2312" w:hAnsi="FangSong_GB2312" w:eastAsia="FangSong_GB2312" w:cs="FangSong_GB2312"/>
          <w:sz w:val="32"/>
          <w:szCs w:val="32"/>
        </w:rPr>
        <w:t>4.1估价原则</w:t>
      </w:r>
      <w:bookmarkEnd w:id="471"/>
    </w:p>
    <w:p w14:paraId="69A07BD6">
      <w:pPr>
        <w:spacing w:line="580" w:lineRule="exact"/>
        <w:ind w:firstLine="640" w:firstLineChars="200"/>
        <w:rPr>
          <w:rFonts w:hint="eastAsia" w:ascii="FangSong_GB2312" w:hAnsi="FangSong_GB2312" w:cs="FangSong_GB2312"/>
          <w:snapToGrid w:val="0"/>
          <w:color w:val="000000"/>
          <w:kern w:val="0"/>
          <w:szCs w:val="32"/>
        </w:rPr>
      </w:pPr>
      <w:bookmarkStart w:id="472" w:name="_Toc171693193"/>
      <w:r>
        <w:rPr>
          <w:rFonts w:hint="eastAsia" w:ascii="FangSong_GB2312" w:hAnsi="FangSong_GB2312" w:cs="FangSong_GB2312"/>
          <w:color w:val="000000"/>
          <w:szCs w:val="32"/>
        </w:rPr>
        <w:t>除自然资源资产包内各自然资源资产估价的一般性原则外，还应从资产包整体开发利用的角度，在评估过程中关注并体现可续利用原则、整体统筹原则、交换价值主导原则</w:t>
      </w:r>
      <w:r>
        <w:rPr>
          <w:rFonts w:hint="eastAsia" w:ascii="FangSong_GB2312" w:hAnsi="FangSong_GB2312" w:cs="FangSong_GB2312"/>
          <w:snapToGrid w:val="0"/>
          <w:color w:val="000000"/>
          <w:kern w:val="0"/>
          <w:szCs w:val="32"/>
        </w:rPr>
        <w:t>,并增加该原则在本次估价主要环节中如何具体体现或运用的说明。</w:t>
      </w:r>
      <w:bookmarkEnd w:id="472"/>
    </w:p>
    <w:p w14:paraId="532DEBC2">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73" w:name="_Toc171693194"/>
      <w:r>
        <w:rPr>
          <w:rFonts w:hint="eastAsia" w:ascii="FangSong_GB2312" w:hAnsi="FangSong_GB2312" w:eastAsia="FangSong_GB2312" w:cs="FangSong_GB2312"/>
          <w:sz w:val="32"/>
          <w:szCs w:val="32"/>
        </w:rPr>
        <w:t>4.2估价方法与估价过程</w:t>
      </w:r>
      <w:bookmarkEnd w:id="473"/>
    </w:p>
    <w:p w14:paraId="20793DFD">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74" w:name="_Toc171693195"/>
      <w:r>
        <w:rPr>
          <w:rFonts w:hint="eastAsia" w:ascii="FangSong_GB2312" w:hAnsi="FangSong_GB2312" w:eastAsia="FangSong_GB2312" w:cs="FangSong_GB2312"/>
          <w:snapToGrid w:val="0"/>
          <w:color w:val="000000"/>
          <w:kern w:val="0"/>
          <w:sz w:val="32"/>
          <w:szCs w:val="32"/>
        </w:rPr>
        <w:t>①估价方法的选择</w:t>
      </w:r>
      <w:bookmarkEnd w:id="474"/>
    </w:p>
    <w:p w14:paraId="2F5B6553">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75" w:name="_Toc171693196"/>
      <w:r>
        <w:rPr>
          <w:rFonts w:hint="eastAsia" w:ascii="FangSong_GB2312" w:hAnsi="FangSong_GB2312" w:eastAsia="FangSong_GB2312" w:cs="FangSong_GB2312"/>
          <w:snapToGrid w:val="0"/>
          <w:color w:val="000000"/>
          <w:kern w:val="0"/>
          <w:sz w:val="32"/>
          <w:szCs w:val="32"/>
        </w:rPr>
        <w:t>②估价过程</w:t>
      </w:r>
      <w:bookmarkEnd w:id="475"/>
      <w:bookmarkStart w:id="476" w:name="_Toc171693197"/>
    </w:p>
    <w:p w14:paraId="0C6F1F64">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r>
        <w:rPr>
          <w:rFonts w:hint="eastAsia" w:ascii="FangSong_GB2312" w:hAnsi="FangSong_GB2312" w:eastAsia="FangSong_GB2312" w:cs="FangSong_GB2312"/>
          <w:snapToGrid w:val="0"/>
          <w:color w:val="000000"/>
          <w:kern w:val="0"/>
          <w:sz w:val="32"/>
          <w:szCs w:val="32"/>
        </w:rPr>
        <w:t>应符合相应门类自然资源资产评估技术规范的一般要求，同时还应充分考虑自然资源资产包内协同效应、权衡效应、规模效应等各类组合效应对关键评估参数取值的影响，在充分分析说明其影响机理的基础上，采用市场调查、对比分析、实验验证、专家咨询等多种途径对其进行合理量化。</w:t>
      </w:r>
      <w:bookmarkEnd w:id="476"/>
    </w:p>
    <w:p w14:paraId="79FF4115">
      <w:pPr>
        <w:pStyle w:val="36"/>
        <w:widowControl w:val="0"/>
        <w:spacing w:line="580" w:lineRule="exact"/>
        <w:ind w:firstLine="640"/>
        <w:jc w:val="left"/>
        <w:rPr>
          <w:rFonts w:ascii="FangSong_GB2312" w:hAnsi="FangSong_GB2312" w:eastAsia="FangSong_GB2312" w:cs="FangSong_GB2312"/>
          <w:sz w:val="32"/>
          <w:szCs w:val="32"/>
        </w:rPr>
      </w:pPr>
      <w:r>
        <w:rPr>
          <w:rFonts w:ascii="FangSong_GB2312" w:hAnsi="FangSong_GB2312" w:eastAsia="FangSong_GB2312" w:cs="FangSong_GB2312"/>
          <w:sz w:val="32"/>
          <w:szCs w:val="32"/>
        </w:rPr>
        <w:t>各方法应用要点的阐述围绕本文件第10、11中的相关规定展开。</w:t>
      </w:r>
    </w:p>
    <w:p w14:paraId="7F1C6F8C">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77" w:name="_Toc171693212"/>
      <w:r>
        <w:rPr>
          <w:rFonts w:hint="eastAsia" w:ascii="FangSong_GB2312" w:hAnsi="FangSong_GB2312" w:eastAsia="FangSong_GB2312" w:cs="FangSong_GB2312"/>
          <w:sz w:val="32"/>
          <w:szCs w:val="32"/>
        </w:rPr>
        <w:t>4.3地价的确定</w:t>
      </w:r>
      <w:bookmarkEnd w:id="477"/>
    </w:p>
    <w:p w14:paraId="4D606D4A">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78" w:name="_Toc171693213"/>
      <w:r>
        <w:rPr>
          <w:rFonts w:hint="eastAsia" w:ascii="FangSong_GB2312" w:hAnsi="FangSong_GB2312" w:eastAsia="FangSong_GB2312" w:cs="FangSong_GB2312"/>
          <w:snapToGrid w:val="0"/>
          <w:color w:val="000000"/>
          <w:kern w:val="0"/>
          <w:sz w:val="32"/>
          <w:szCs w:val="32"/>
        </w:rPr>
        <w:t>①确定估价结果</w:t>
      </w:r>
      <w:bookmarkEnd w:id="478"/>
    </w:p>
    <w:p w14:paraId="7F90B4C2">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79" w:name="_Toc171693214"/>
      <w:r>
        <w:rPr>
          <w:rFonts w:hint="eastAsia" w:ascii="FangSong_GB2312" w:hAnsi="FangSong_GB2312" w:eastAsia="FangSong_GB2312" w:cs="FangSong_GB2312"/>
          <w:snapToGrid w:val="0"/>
          <w:color w:val="000000"/>
          <w:kern w:val="0"/>
          <w:sz w:val="32"/>
          <w:szCs w:val="32"/>
        </w:rPr>
        <w:t>针对同一待估对象采用两种以上（含）估价方法的，应在比较分析各方法的运用过程中相关资料的可靠性、现势性，参数取值的科学性、合理性，以及价格测算结果与市场的适配性等因素的基础上，采用简单平均、加权平均、调整修正，或其他统计方法综合确定估价结果。</w:t>
      </w:r>
    </w:p>
    <w:p w14:paraId="60F365A2">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r>
        <w:rPr>
          <w:rFonts w:hint="eastAsia" w:ascii="FangSong_GB2312" w:hAnsi="FangSong_GB2312" w:eastAsia="FangSong_GB2312" w:cs="FangSong_GB2312"/>
          <w:snapToGrid w:val="0"/>
          <w:color w:val="000000"/>
          <w:kern w:val="0"/>
          <w:sz w:val="32"/>
          <w:szCs w:val="32"/>
        </w:rPr>
        <w:t>采用合估模式的，还应分析阐述在合估总价基础上，分拆得到各门类自然资源资产价格的方法、过程及结果。</w:t>
      </w:r>
      <w:bookmarkEnd w:id="479"/>
    </w:p>
    <w:p w14:paraId="7380BBC4">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80" w:name="_Toc171693216"/>
      <w:r>
        <w:rPr>
          <w:rFonts w:hint="eastAsia" w:ascii="FangSong_GB2312" w:hAnsi="FangSong_GB2312" w:eastAsia="FangSong_GB2312" w:cs="FangSong_GB2312"/>
          <w:snapToGrid w:val="0"/>
          <w:color w:val="000000"/>
          <w:kern w:val="0"/>
          <w:sz w:val="32"/>
          <w:szCs w:val="32"/>
        </w:rPr>
        <w:t>②估价结果</w:t>
      </w:r>
      <w:bookmarkEnd w:id="480"/>
    </w:p>
    <w:p w14:paraId="04DAB93B">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r>
        <w:rPr>
          <w:rFonts w:hint="eastAsia" w:ascii="FangSong_GB2312" w:hAnsi="FangSong_GB2312" w:eastAsia="FangSong_GB2312" w:cs="FangSong_GB2312"/>
          <w:snapToGrid w:val="0"/>
          <w:color w:val="000000"/>
          <w:kern w:val="0"/>
          <w:sz w:val="32"/>
          <w:szCs w:val="32"/>
        </w:rPr>
        <w:t>说明自然资源资产包总价金额、大写金额。</w:t>
      </w:r>
    </w:p>
    <w:p w14:paraId="415A5F6C">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r>
        <w:rPr>
          <w:rFonts w:hint="eastAsia" w:ascii="FangSong_GB2312" w:hAnsi="FangSong_GB2312" w:eastAsia="FangSong_GB2312" w:cs="FangSong_GB2312"/>
          <w:snapToGrid w:val="0"/>
          <w:color w:val="000000"/>
          <w:kern w:val="0"/>
          <w:sz w:val="32"/>
          <w:szCs w:val="32"/>
        </w:rPr>
        <w:t>说明资产包内各门类自然资源资产的总价和单价，并可根据需要按具体权利权能分列，确实无法剥离或分摊的，须阐明原因。</w:t>
      </w:r>
    </w:p>
    <w:p w14:paraId="6799279C">
      <w:pPr>
        <w:pStyle w:val="60"/>
        <w:spacing w:before="0" w:beforeLines="0" w:after="0" w:afterLines="0" w:line="580" w:lineRule="exact"/>
        <w:ind w:firstLine="640" w:firstLineChars="200"/>
        <w:jc w:val="left"/>
        <w:rPr>
          <w:rFonts w:hint="eastAsia"/>
        </w:rPr>
      </w:pPr>
      <w:r>
        <w:rPr>
          <w:rFonts w:hint="eastAsia" w:ascii="FangSong_GB2312" w:hAnsi="FangSong_GB2312" w:eastAsia="FangSong_GB2312" w:cs="FangSong_GB2312"/>
          <w:snapToGrid w:val="0"/>
          <w:color w:val="000000"/>
          <w:kern w:val="0"/>
          <w:sz w:val="32"/>
          <w:szCs w:val="32"/>
        </w:rPr>
        <w:t>风险披露：说明是否存在自然资源资产包的整体价格低于各门类自然资源资产单独供应时的价格之和；各门类自然资源资产单独供应情况下的价格可通过市场调查、交易案例统计分析等方法简易估算。</w:t>
      </w:r>
    </w:p>
    <w:p w14:paraId="7287C1FE">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自然资源资产包估价结果汇总表示例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625"/>
        <w:gridCol w:w="1903"/>
        <w:gridCol w:w="2257"/>
      </w:tblGrid>
      <w:tr w14:paraId="5620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37" w:type="dxa"/>
            <w:noWrap w:val="0"/>
            <w:vAlign w:val="center"/>
          </w:tcPr>
          <w:p w14:paraId="5B33D870">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自然资源资产</w:t>
            </w:r>
          </w:p>
        </w:tc>
        <w:tc>
          <w:tcPr>
            <w:tcW w:w="2625" w:type="dxa"/>
            <w:noWrap w:val="0"/>
            <w:vAlign w:val="center"/>
          </w:tcPr>
          <w:p w14:paraId="1B0B11BA">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单价（元/m</w:t>
            </w:r>
            <w:r>
              <w:rPr>
                <w:rFonts w:hint="eastAsia" w:ascii="FangSong_GB2312" w:hAnsi="FangSong_GB2312" w:cs="FangSong_GB2312"/>
                <w:b/>
                <w:bCs/>
                <w:color w:val="000000"/>
                <w:szCs w:val="32"/>
                <w:vertAlign w:val="superscript"/>
              </w:rPr>
              <w:t>2</w:t>
            </w:r>
            <w:r>
              <w:rPr>
                <w:rFonts w:hint="eastAsia" w:ascii="FangSong_GB2312" w:hAnsi="FangSong_GB2312" w:cs="FangSong_GB2312"/>
                <w:b/>
                <w:bCs/>
                <w:color w:val="000000"/>
                <w:szCs w:val="32"/>
              </w:rPr>
              <w:t>、元/m</w:t>
            </w:r>
            <w:r>
              <w:rPr>
                <w:rFonts w:hint="eastAsia" w:ascii="FangSong_GB2312" w:hAnsi="FangSong_GB2312" w:cs="FangSong_GB2312"/>
                <w:b/>
                <w:bCs/>
                <w:color w:val="000000"/>
                <w:szCs w:val="32"/>
                <w:vertAlign w:val="superscript"/>
              </w:rPr>
              <w:t>3</w:t>
            </w:r>
            <w:r>
              <w:rPr>
                <w:rFonts w:hint="eastAsia" w:ascii="FangSong_GB2312" w:hAnsi="FangSong_GB2312" w:cs="FangSong_GB2312"/>
                <w:b/>
                <w:bCs/>
                <w:color w:val="000000"/>
                <w:szCs w:val="32"/>
              </w:rPr>
              <w:t>、元/吨、元/立方米）</w:t>
            </w:r>
          </w:p>
        </w:tc>
        <w:tc>
          <w:tcPr>
            <w:tcW w:w="1903" w:type="dxa"/>
            <w:noWrap w:val="0"/>
            <w:vAlign w:val="center"/>
          </w:tcPr>
          <w:p w14:paraId="236309DD">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规模（m</w:t>
            </w:r>
            <w:r>
              <w:rPr>
                <w:rFonts w:hint="eastAsia" w:ascii="FangSong_GB2312" w:hAnsi="FangSong_GB2312" w:cs="FangSong_GB2312"/>
                <w:b/>
                <w:bCs/>
                <w:color w:val="000000"/>
                <w:szCs w:val="32"/>
                <w:vertAlign w:val="superscript"/>
              </w:rPr>
              <w:t>2</w:t>
            </w:r>
            <w:r>
              <w:rPr>
                <w:rFonts w:hint="eastAsia" w:ascii="FangSong_GB2312" w:hAnsi="FangSong_GB2312" w:cs="FangSong_GB2312"/>
                <w:b/>
                <w:bCs/>
                <w:color w:val="000000"/>
                <w:szCs w:val="32"/>
              </w:rPr>
              <w:t>、m</w:t>
            </w:r>
            <w:r>
              <w:rPr>
                <w:rFonts w:hint="eastAsia" w:ascii="FangSong_GB2312" w:hAnsi="FangSong_GB2312" w:cs="FangSong_GB2312"/>
                <w:b/>
                <w:bCs/>
                <w:color w:val="000000"/>
                <w:szCs w:val="32"/>
                <w:vertAlign w:val="superscript"/>
              </w:rPr>
              <w:t>3</w:t>
            </w:r>
            <w:r>
              <w:rPr>
                <w:rFonts w:hint="eastAsia" w:ascii="FangSong_GB2312" w:hAnsi="FangSong_GB2312" w:cs="FangSong_GB2312"/>
                <w:b/>
                <w:bCs/>
                <w:color w:val="000000"/>
                <w:szCs w:val="32"/>
              </w:rPr>
              <w:t>、万吨、万立方米）</w:t>
            </w:r>
          </w:p>
        </w:tc>
        <w:tc>
          <w:tcPr>
            <w:tcW w:w="2257" w:type="dxa"/>
            <w:noWrap w:val="0"/>
            <w:vAlign w:val="center"/>
          </w:tcPr>
          <w:p w14:paraId="6314BC8D">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总价（万元）</w:t>
            </w:r>
          </w:p>
        </w:tc>
      </w:tr>
      <w:tr w14:paraId="0A66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37" w:type="dxa"/>
            <w:noWrap w:val="0"/>
            <w:vAlign w:val="center"/>
          </w:tcPr>
          <w:p w14:paraId="7EEF3CF3">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建设用地</w:t>
            </w:r>
          </w:p>
        </w:tc>
        <w:tc>
          <w:tcPr>
            <w:tcW w:w="2625" w:type="dxa"/>
            <w:noWrap w:val="0"/>
            <w:vAlign w:val="center"/>
          </w:tcPr>
          <w:p w14:paraId="5AB5EA2E">
            <w:pPr>
              <w:spacing w:line="560" w:lineRule="exact"/>
              <w:jc w:val="center"/>
              <w:rPr>
                <w:rFonts w:hint="eastAsia" w:ascii="FangSong_GB2312" w:hAnsi="FangSong_GB2312" w:cs="FangSong_GB2312"/>
                <w:color w:val="000000"/>
                <w:szCs w:val="32"/>
              </w:rPr>
            </w:pPr>
          </w:p>
        </w:tc>
        <w:tc>
          <w:tcPr>
            <w:tcW w:w="1903" w:type="dxa"/>
            <w:noWrap w:val="0"/>
            <w:vAlign w:val="center"/>
          </w:tcPr>
          <w:p w14:paraId="1338D8CC">
            <w:pPr>
              <w:spacing w:line="560" w:lineRule="exact"/>
              <w:jc w:val="center"/>
              <w:rPr>
                <w:rFonts w:hint="eastAsia" w:ascii="FangSong_GB2312" w:hAnsi="FangSong_GB2312" w:cs="FangSong_GB2312"/>
                <w:color w:val="000000"/>
                <w:szCs w:val="32"/>
              </w:rPr>
            </w:pPr>
          </w:p>
        </w:tc>
        <w:tc>
          <w:tcPr>
            <w:tcW w:w="2257" w:type="dxa"/>
            <w:noWrap w:val="0"/>
            <w:vAlign w:val="center"/>
          </w:tcPr>
          <w:p w14:paraId="4E1BBBF6">
            <w:pPr>
              <w:spacing w:line="560" w:lineRule="exact"/>
              <w:jc w:val="center"/>
              <w:rPr>
                <w:rFonts w:hint="eastAsia" w:ascii="FangSong_GB2312" w:hAnsi="FangSong_GB2312" w:cs="FangSong_GB2312"/>
                <w:color w:val="000000"/>
                <w:szCs w:val="32"/>
              </w:rPr>
            </w:pPr>
          </w:p>
        </w:tc>
      </w:tr>
      <w:tr w14:paraId="157A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37" w:type="dxa"/>
            <w:noWrap w:val="0"/>
            <w:vAlign w:val="center"/>
          </w:tcPr>
          <w:p w14:paraId="66876529">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采矿权/</w:t>
            </w:r>
          </w:p>
          <w:p w14:paraId="60D7520A">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探矿权</w:t>
            </w:r>
          </w:p>
        </w:tc>
        <w:tc>
          <w:tcPr>
            <w:tcW w:w="2625" w:type="dxa"/>
            <w:noWrap w:val="0"/>
            <w:vAlign w:val="center"/>
          </w:tcPr>
          <w:p w14:paraId="08E2C983">
            <w:pPr>
              <w:spacing w:line="560" w:lineRule="exact"/>
              <w:jc w:val="center"/>
              <w:rPr>
                <w:rFonts w:hint="eastAsia" w:ascii="FangSong_GB2312" w:hAnsi="FangSong_GB2312" w:cs="FangSong_GB2312"/>
                <w:color w:val="000000"/>
                <w:szCs w:val="32"/>
              </w:rPr>
            </w:pPr>
          </w:p>
        </w:tc>
        <w:tc>
          <w:tcPr>
            <w:tcW w:w="1903" w:type="dxa"/>
            <w:noWrap w:val="0"/>
            <w:vAlign w:val="center"/>
          </w:tcPr>
          <w:p w14:paraId="79FF5C40">
            <w:pPr>
              <w:spacing w:line="560" w:lineRule="exact"/>
              <w:jc w:val="center"/>
              <w:rPr>
                <w:rFonts w:hint="eastAsia" w:ascii="FangSong_GB2312" w:hAnsi="FangSong_GB2312" w:cs="FangSong_GB2312"/>
                <w:color w:val="000000"/>
                <w:szCs w:val="32"/>
              </w:rPr>
            </w:pPr>
          </w:p>
        </w:tc>
        <w:tc>
          <w:tcPr>
            <w:tcW w:w="2257" w:type="dxa"/>
            <w:noWrap w:val="0"/>
            <w:vAlign w:val="center"/>
          </w:tcPr>
          <w:p w14:paraId="0C70B10C">
            <w:pPr>
              <w:spacing w:line="560" w:lineRule="exact"/>
              <w:jc w:val="center"/>
              <w:rPr>
                <w:rFonts w:hint="eastAsia" w:ascii="FangSong_GB2312" w:hAnsi="FangSong_GB2312" w:cs="FangSong_GB2312"/>
                <w:color w:val="000000"/>
                <w:szCs w:val="32"/>
              </w:rPr>
            </w:pPr>
          </w:p>
        </w:tc>
      </w:tr>
      <w:tr w14:paraId="5035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37" w:type="dxa"/>
            <w:noWrap w:val="0"/>
            <w:vAlign w:val="center"/>
          </w:tcPr>
          <w:p w14:paraId="48CBFB2E">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森林资产</w:t>
            </w:r>
          </w:p>
        </w:tc>
        <w:tc>
          <w:tcPr>
            <w:tcW w:w="2625" w:type="dxa"/>
            <w:noWrap w:val="0"/>
            <w:vAlign w:val="center"/>
          </w:tcPr>
          <w:p w14:paraId="7FAB17C4">
            <w:pPr>
              <w:spacing w:line="560" w:lineRule="exact"/>
              <w:jc w:val="center"/>
              <w:rPr>
                <w:rFonts w:hint="eastAsia" w:ascii="FangSong_GB2312" w:hAnsi="FangSong_GB2312" w:cs="FangSong_GB2312"/>
                <w:color w:val="000000"/>
                <w:szCs w:val="32"/>
              </w:rPr>
            </w:pPr>
          </w:p>
        </w:tc>
        <w:tc>
          <w:tcPr>
            <w:tcW w:w="1903" w:type="dxa"/>
            <w:noWrap w:val="0"/>
            <w:vAlign w:val="center"/>
          </w:tcPr>
          <w:p w14:paraId="290AF354">
            <w:pPr>
              <w:spacing w:line="560" w:lineRule="exact"/>
              <w:jc w:val="center"/>
              <w:rPr>
                <w:rFonts w:hint="eastAsia" w:ascii="FangSong_GB2312" w:hAnsi="FangSong_GB2312" w:cs="FangSong_GB2312"/>
                <w:color w:val="000000"/>
                <w:szCs w:val="32"/>
              </w:rPr>
            </w:pPr>
          </w:p>
        </w:tc>
        <w:tc>
          <w:tcPr>
            <w:tcW w:w="2257" w:type="dxa"/>
            <w:noWrap w:val="0"/>
            <w:vAlign w:val="center"/>
          </w:tcPr>
          <w:p w14:paraId="03421E96">
            <w:pPr>
              <w:spacing w:line="560" w:lineRule="exact"/>
              <w:jc w:val="center"/>
              <w:rPr>
                <w:rFonts w:hint="eastAsia" w:ascii="FangSong_GB2312" w:hAnsi="FangSong_GB2312" w:cs="FangSong_GB2312"/>
                <w:color w:val="000000"/>
                <w:szCs w:val="32"/>
              </w:rPr>
            </w:pPr>
          </w:p>
        </w:tc>
      </w:tr>
      <w:tr w14:paraId="0836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37" w:type="dxa"/>
            <w:noWrap w:val="0"/>
            <w:vAlign w:val="center"/>
          </w:tcPr>
          <w:p w14:paraId="1CDF145F">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农用地</w:t>
            </w:r>
          </w:p>
        </w:tc>
        <w:tc>
          <w:tcPr>
            <w:tcW w:w="2625" w:type="dxa"/>
            <w:noWrap w:val="0"/>
            <w:vAlign w:val="center"/>
          </w:tcPr>
          <w:p w14:paraId="4416B240">
            <w:pPr>
              <w:spacing w:line="560" w:lineRule="exact"/>
              <w:jc w:val="center"/>
              <w:rPr>
                <w:rFonts w:hint="eastAsia" w:ascii="FangSong_GB2312" w:hAnsi="FangSong_GB2312" w:cs="FangSong_GB2312"/>
                <w:color w:val="000000"/>
                <w:szCs w:val="32"/>
              </w:rPr>
            </w:pPr>
          </w:p>
        </w:tc>
        <w:tc>
          <w:tcPr>
            <w:tcW w:w="1903" w:type="dxa"/>
            <w:noWrap w:val="0"/>
            <w:vAlign w:val="center"/>
          </w:tcPr>
          <w:p w14:paraId="43BB69CB">
            <w:pPr>
              <w:spacing w:line="560" w:lineRule="exact"/>
              <w:jc w:val="center"/>
              <w:rPr>
                <w:rFonts w:hint="eastAsia" w:ascii="FangSong_GB2312" w:hAnsi="FangSong_GB2312" w:cs="FangSong_GB2312"/>
                <w:color w:val="000000"/>
                <w:szCs w:val="32"/>
              </w:rPr>
            </w:pPr>
          </w:p>
        </w:tc>
        <w:tc>
          <w:tcPr>
            <w:tcW w:w="2257" w:type="dxa"/>
            <w:noWrap w:val="0"/>
            <w:vAlign w:val="center"/>
          </w:tcPr>
          <w:p w14:paraId="7EED5AC6">
            <w:pPr>
              <w:spacing w:line="560" w:lineRule="exact"/>
              <w:jc w:val="center"/>
              <w:rPr>
                <w:rFonts w:hint="eastAsia" w:ascii="FangSong_GB2312" w:hAnsi="FangSong_GB2312" w:cs="FangSong_GB2312"/>
                <w:color w:val="000000"/>
                <w:szCs w:val="32"/>
              </w:rPr>
            </w:pPr>
          </w:p>
        </w:tc>
      </w:tr>
      <w:tr w14:paraId="1AFF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37" w:type="dxa"/>
            <w:noWrap w:val="0"/>
            <w:vAlign w:val="center"/>
          </w:tcPr>
          <w:p w14:paraId="38E4BD2E">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总计</w:t>
            </w:r>
          </w:p>
        </w:tc>
        <w:tc>
          <w:tcPr>
            <w:tcW w:w="2625" w:type="dxa"/>
            <w:noWrap w:val="0"/>
            <w:vAlign w:val="center"/>
          </w:tcPr>
          <w:p w14:paraId="27410A49">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w:t>
            </w:r>
          </w:p>
        </w:tc>
        <w:tc>
          <w:tcPr>
            <w:tcW w:w="1903" w:type="dxa"/>
            <w:noWrap w:val="0"/>
            <w:vAlign w:val="center"/>
          </w:tcPr>
          <w:p w14:paraId="7B02A391">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w:t>
            </w:r>
          </w:p>
        </w:tc>
        <w:tc>
          <w:tcPr>
            <w:tcW w:w="2257" w:type="dxa"/>
            <w:noWrap w:val="0"/>
            <w:vAlign w:val="center"/>
          </w:tcPr>
          <w:p w14:paraId="7FC2B729">
            <w:pPr>
              <w:spacing w:line="560" w:lineRule="exact"/>
              <w:jc w:val="center"/>
              <w:rPr>
                <w:rFonts w:hint="eastAsia" w:ascii="FangSong_GB2312" w:hAnsi="FangSong_GB2312" w:cs="FangSong_GB2312"/>
                <w:color w:val="000000"/>
                <w:szCs w:val="32"/>
              </w:rPr>
            </w:pPr>
          </w:p>
        </w:tc>
      </w:tr>
    </w:tbl>
    <w:p w14:paraId="19D7760D">
      <w:pPr>
        <w:spacing w:line="56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注：土地、草地、林地、湿地、水面等以平面计量的，单位为：平方米，价格单位为：元/平方米；采矿权、取水权等以立体计量的，单位为：吨、立方米等，价格单位为：元/吨、元/立方米。单价以元为单位，总价以万元为单位并保留四位小数。</w:t>
      </w:r>
    </w:p>
    <w:p w14:paraId="03F13A78">
      <w:pPr>
        <w:spacing w:before="65" w:line="560" w:lineRule="exact"/>
        <w:ind w:left="4" w:firstLine="415"/>
        <w:rPr>
          <w:rFonts w:hint="eastAsia" w:ascii="FangSong_GB2312" w:hAnsi="FangSong_GB2312" w:cs="FangSong_GB2312"/>
          <w:szCs w:val="32"/>
        </w:rPr>
      </w:pPr>
    </w:p>
    <w:p w14:paraId="28C5290E">
      <w:pPr>
        <w:spacing w:line="560" w:lineRule="exact"/>
        <w:rPr>
          <w:rFonts w:hint="eastAsia" w:ascii="FangSong_GB2312" w:hAnsi="FangSong_GB2312" w:cs="FangSong_GB2312"/>
          <w:szCs w:val="32"/>
        </w:rPr>
      </w:pPr>
    </w:p>
    <w:p w14:paraId="11880B51">
      <w:pPr>
        <w:spacing w:line="420" w:lineRule="exact"/>
        <w:jc w:val="left"/>
        <w:rPr>
          <w:rFonts w:hint="eastAsia" w:ascii="FangSong_GB2312" w:hAnsi="FangSong_GB2312" w:cs="FangSong_GB2312"/>
          <w:szCs w:val="32"/>
        </w:rPr>
      </w:pPr>
    </w:p>
    <w:sectPr>
      <w:footerReference r:id="rId5" w:type="first"/>
      <w:footerReference r:id="rId3" w:type="default"/>
      <w:footerReference r:id="rId4" w:type="even"/>
      <w:pgSz w:w="11906" w:h="16838"/>
      <w:pgMar w:top="1417" w:right="1587" w:bottom="1417" w:left="1587" w:header="851" w:footer="964" w:gutter="0"/>
      <w:pgNumType w:start="1"/>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Verdana">
    <w:panose1 w:val="020B0604030504040204"/>
    <w:charset w:val="00"/>
    <w:family w:val="swiss"/>
    <w:pitch w:val="default"/>
    <w:sig w:usb0="A00006FF" w:usb1="4000205B" w:usb2="00000010" w:usb3="00000000" w:csb0="2000019F" w:csb1="00000000"/>
  </w:font>
  <w:font w:name="DejaVu Math TeX Gyre">
    <w:panose1 w:val="02000503000000000000"/>
    <w:charset w:val="00"/>
    <w:family w:val="auto"/>
    <w:pitch w:val="default"/>
    <w:sig w:usb0="A10000EF" w:usb1="4201F9EE" w:usb2="02000000" w:usb3="00000000" w:csb0="60000193" w:csb1="0DD4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2A78">
    <w:pPr>
      <w:pStyle w:val="8"/>
      <w:jc w:val="right"/>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posOffset>4679950</wp:posOffset>
              </wp:positionH>
              <wp:positionV relativeFrom="paragraph">
                <wp:posOffset>-45720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695C3">
                          <w:pPr>
                            <w:pStyle w:val="8"/>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rPr>
                            <w:fldChar w:fldCharType="begin"/>
                          </w:r>
                          <w:r>
                            <w:rPr>
                              <w:rFonts w:hint="eastAsia" w:ascii="FangSong_GB2312" w:hAnsi="FangSong_GB2312" w:eastAsia="FangSong_GB2312" w:cs="FangSong_GB2312"/>
                              <w:sz w:val="28"/>
                              <w:szCs w:val="28"/>
                            </w:rPr>
                            <w:instrText xml:space="preserve"> PAGE  \* MERGEFORMAT </w:instrText>
                          </w:r>
                          <w:r>
                            <w:rPr>
                              <w:rFonts w:hint="eastAsia" w:ascii="FangSong_GB2312" w:hAnsi="FangSong_GB2312" w:eastAsia="FangSong_GB2312" w:cs="FangSong_GB2312"/>
                              <w:sz w:val="28"/>
                              <w:szCs w:val="28"/>
                            </w:rPr>
                            <w:fldChar w:fldCharType="separate"/>
                          </w:r>
                          <w:r>
                            <w:rPr>
                              <w:rFonts w:ascii="FangSong_GB2312" w:hAnsi="FangSong_GB2312" w:eastAsia="FangSong_GB2312" w:cs="FangSong_GB2312"/>
                              <w:sz w:val="28"/>
                              <w:szCs w:val="28"/>
                            </w:rPr>
                            <w:t>9</w:t>
                          </w:r>
                          <w:r>
                            <w:rPr>
                              <w:rFonts w:hint="eastAsia" w:ascii="FangSong_GB2312" w:hAnsi="FangSong_GB2312" w:eastAsia="FangSong_GB2312" w:cs="FangSong_GB2312"/>
                              <w:sz w:val="28"/>
                              <w:szCs w:val="28"/>
                            </w:rPr>
                            <w:fldChar w:fldCharType="end"/>
                          </w:r>
                          <w:r>
                            <w:rPr>
                              <w:rFonts w:hint="eastAsia" w:ascii="FangSong_GB2312" w:hAnsi="FangSong_GB2312" w:eastAsia="FangSong_GB2312" w:cs="FangSong_GB2312"/>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left:368.5pt;margin-top:-3.6pt;height:144pt;width:144pt;mso-position-horizontal-relative:margin;mso-wrap-style:none;z-index:251659264;mso-width-relative:page;mso-height-relative:page;" filled="f" stroked="f" coordsize="21600,21600" o:gfxdata="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Qui+fWAAAACwEAAA8AAAAAAAAAAQAgAAAAIgAAAGRycy9kb3du&#10;cmV2LnhtbFBLAQIUABQAAAAIAIdO4kA7YdjTyAEAAJkDAAAOAAAAAAAAAAEAIAAAACUBAABkcnMv&#10;ZTJvRG9jLnhtbFBLBQYAAAAABgAGAFkBAABfBQAAAAA=&#10;">
              <v:fill on="f" focussize="0,0"/>
              <v:stroke on="f"/>
              <v:imagedata o:title=""/>
              <o:lock v:ext="edit" aspectratio="f"/>
              <v:textbox inset="0mm,0mm,0mm,0mm" style="mso-fit-shape-to-text:t;">
                <w:txbxContent>
                  <w:p w14:paraId="793695C3">
                    <w:pPr>
                      <w:pStyle w:val="8"/>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rPr>
                      <w:fldChar w:fldCharType="begin"/>
                    </w:r>
                    <w:r>
                      <w:rPr>
                        <w:rFonts w:hint="eastAsia" w:ascii="FangSong_GB2312" w:hAnsi="FangSong_GB2312" w:eastAsia="FangSong_GB2312" w:cs="FangSong_GB2312"/>
                        <w:sz w:val="28"/>
                        <w:szCs w:val="28"/>
                      </w:rPr>
                      <w:instrText xml:space="preserve"> PAGE  \* MERGEFORMAT </w:instrText>
                    </w:r>
                    <w:r>
                      <w:rPr>
                        <w:rFonts w:hint="eastAsia" w:ascii="FangSong_GB2312" w:hAnsi="FangSong_GB2312" w:eastAsia="FangSong_GB2312" w:cs="FangSong_GB2312"/>
                        <w:sz w:val="28"/>
                        <w:szCs w:val="28"/>
                      </w:rPr>
                      <w:fldChar w:fldCharType="separate"/>
                    </w:r>
                    <w:r>
                      <w:rPr>
                        <w:rFonts w:ascii="FangSong_GB2312" w:hAnsi="FangSong_GB2312" w:eastAsia="FangSong_GB2312" w:cs="FangSong_GB2312"/>
                        <w:sz w:val="28"/>
                        <w:szCs w:val="28"/>
                      </w:rPr>
                      <w:t>9</w:t>
                    </w:r>
                    <w:r>
                      <w:rPr>
                        <w:rFonts w:hint="eastAsia" w:ascii="FangSong_GB2312" w:hAnsi="FangSong_GB2312" w:eastAsia="FangSong_GB2312" w:cs="FangSong_GB2312"/>
                        <w:sz w:val="28"/>
                        <w:szCs w:val="28"/>
                      </w:rPr>
                      <w:fldChar w:fldCharType="end"/>
                    </w:r>
                    <w:r>
                      <w:rPr>
                        <w:rFonts w:hint="eastAsia" w:ascii="FangSong_GB2312" w:hAnsi="FangSong_GB2312" w:eastAsia="FangSong_GB2312" w:cs="FangSong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C4AF">
    <w:pPr>
      <w:pStyle w:val="8"/>
      <w:ind w:right="560"/>
    </w:pPr>
    <w:r>
      <mc:AlternateContent>
        <mc:Choice Requires="wps">
          <w:drawing>
            <wp:anchor distT="0" distB="0" distL="114300" distR="114300" simplePos="0" relativeHeight="251660288" behindDoc="0" locked="0" layoutInCell="1" allowOverlap="1">
              <wp:simplePos x="0" y="0"/>
              <wp:positionH relativeFrom="margin">
                <wp:posOffset>184150</wp:posOffset>
              </wp:positionH>
              <wp:positionV relativeFrom="paragraph">
                <wp:posOffset>-19685</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ECE3A7">
                          <w:pPr>
                            <w:pStyle w:val="8"/>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rPr>
                            <w:fldChar w:fldCharType="begin"/>
                          </w:r>
                          <w:r>
                            <w:rPr>
                              <w:rFonts w:hint="eastAsia" w:ascii="FangSong_GB2312" w:hAnsi="FangSong_GB2312" w:eastAsia="FangSong_GB2312" w:cs="FangSong_GB2312"/>
                              <w:sz w:val="28"/>
                              <w:szCs w:val="28"/>
                            </w:rPr>
                            <w:instrText xml:space="preserve"> PAGE  \* MERGEFORMAT </w:instrText>
                          </w:r>
                          <w:r>
                            <w:rPr>
                              <w:rFonts w:hint="eastAsia" w:ascii="FangSong_GB2312" w:hAnsi="FangSong_GB2312" w:eastAsia="FangSong_GB2312" w:cs="FangSong_GB2312"/>
                              <w:sz w:val="28"/>
                              <w:szCs w:val="28"/>
                            </w:rPr>
                            <w:fldChar w:fldCharType="separate"/>
                          </w:r>
                          <w:r>
                            <w:rPr>
                              <w:rFonts w:ascii="FangSong_GB2312" w:hAnsi="FangSong_GB2312" w:eastAsia="FangSong_GB2312" w:cs="FangSong_GB2312"/>
                              <w:sz w:val="28"/>
                              <w:szCs w:val="28"/>
                            </w:rPr>
                            <w:t>2</w:t>
                          </w:r>
                          <w:r>
                            <w:rPr>
                              <w:rFonts w:hint="eastAsia" w:ascii="FangSong_GB2312" w:hAnsi="FangSong_GB2312" w:eastAsia="FangSong_GB2312" w:cs="FangSong_GB2312"/>
                              <w:sz w:val="28"/>
                              <w:szCs w:val="28"/>
                            </w:rPr>
                            <w:fldChar w:fldCharType="end"/>
                          </w:r>
                          <w:r>
                            <w:rPr>
                              <w:rFonts w:hint="eastAsia" w:ascii="FangSong_GB2312" w:hAnsi="FangSong_GB2312" w:eastAsia="FangSong_GB2312" w:cs="FangSong_GB2312"/>
                              <w:sz w:val="28"/>
                              <w:szCs w:val="28"/>
                            </w:rPr>
                            <w:t xml:space="preserve"> —</w:t>
                          </w:r>
                        </w:p>
                      </w:txbxContent>
                    </wps:txbx>
                    <wps:bodyPr wrap="none" lIns="0" tIns="0" rIns="0" bIns="0" upright="0">
                      <a:spAutoFit/>
                    </wps:bodyPr>
                  </wps:wsp>
                </a:graphicData>
              </a:graphic>
            </wp:anchor>
          </w:drawing>
        </mc:Choice>
        <mc:Fallback>
          <w:pict>
            <v:shape id="文本框 10" o:spid="_x0000_s1026" o:spt="202" type="#_x0000_t202" style="position:absolute;left:0pt;margin-left:14.5pt;margin-top:-1.55pt;height:144pt;width:144pt;mso-position-horizontal-relative:margin;mso-wrap-style:none;z-index:251660288;mso-width-relative:page;mso-height-relative:page;" filled="f" stroked="f" coordsize="21600,21600" o:gfxdata="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kYFNtYAAAAJAQAADwAAAAAAAAABACAAAAAiAAAAZHJzL2Rvd25y&#10;ZXYueG1sUEsBAhQAFAAAAAgAh07iQN/PrwvHAQAAmgMAAA4AAAAAAAAAAQAgAAAAJQEAAGRycy9l&#10;Mm9Eb2MueG1sUEsFBgAAAAAGAAYAWQEAAF4FAAAAAA==&#10;">
              <v:fill on="f" focussize="0,0"/>
              <v:stroke on="f"/>
              <v:imagedata o:title=""/>
              <o:lock v:ext="edit" aspectratio="f"/>
              <v:textbox inset="0mm,0mm,0mm,0mm" style="mso-fit-shape-to-text:t;">
                <w:txbxContent>
                  <w:p w14:paraId="01ECE3A7">
                    <w:pPr>
                      <w:pStyle w:val="8"/>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rPr>
                      <w:fldChar w:fldCharType="begin"/>
                    </w:r>
                    <w:r>
                      <w:rPr>
                        <w:rFonts w:hint="eastAsia" w:ascii="FangSong_GB2312" w:hAnsi="FangSong_GB2312" w:eastAsia="FangSong_GB2312" w:cs="FangSong_GB2312"/>
                        <w:sz w:val="28"/>
                        <w:szCs w:val="28"/>
                      </w:rPr>
                      <w:instrText xml:space="preserve"> PAGE  \* MERGEFORMAT </w:instrText>
                    </w:r>
                    <w:r>
                      <w:rPr>
                        <w:rFonts w:hint="eastAsia" w:ascii="FangSong_GB2312" w:hAnsi="FangSong_GB2312" w:eastAsia="FangSong_GB2312" w:cs="FangSong_GB2312"/>
                        <w:sz w:val="28"/>
                        <w:szCs w:val="28"/>
                      </w:rPr>
                      <w:fldChar w:fldCharType="separate"/>
                    </w:r>
                    <w:r>
                      <w:rPr>
                        <w:rFonts w:ascii="FangSong_GB2312" w:hAnsi="FangSong_GB2312" w:eastAsia="FangSong_GB2312" w:cs="FangSong_GB2312"/>
                        <w:sz w:val="28"/>
                        <w:szCs w:val="28"/>
                      </w:rPr>
                      <w:t>2</w:t>
                    </w:r>
                    <w:r>
                      <w:rPr>
                        <w:rFonts w:hint="eastAsia" w:ascii="FangSong_GB2312" w:hAnsi="FangSong_GB2312" w:eastAsia="FangSong_GB2312" w:cs="FangSong_GB2312"/>
                        <w:sz w:val="28"/>
                        <w:szCs w:val="28"/>
                      </w:rPr>
                      <w:fldChar w:fldCharType="end"/>
                    </w:r>
                    <w:r>
                      <w:rPr>
                        <w:rFonts w:hint="eastAsia" w:ascii="FangSong_GB2312" w:hAnsi="FangSong_GB2312" w:eastAsia="FangSong_GB2312" w:cs="FangSong_GB2312"/>
                        <w:sz w:val="28"/>
                        <w:szCs w:val="28"/>
                      </w:rPr>
                      <w:t xml:space="preserve"> —</w:t>
                    </w:r>
                  </w:p>
                </w:txbxContent>
              </v:textbox>
            </v:shape>
          </w:pict>
        </mc:Fallback>
      </mc:AlternateContent>
    </w:r>
  </w:p>
  <w:p w14:paraId="15A7C0D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4177">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229036">
                          <w:pPr>
                            <w:pStyle w:val="8"/>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66zBck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ny&#10;TdanD1Bj2l3AxDS89wNuzewHdGbag4o2f5EQwTiqe7qoK4dERH60Wq5WFYYExuYL4rOn5yFC+iC9&#10;JdloaMTxFVX58ROkMXVOydWcv9XGlBEa95cDMbOH5d7HHrOVht0wEdr59oR8epx8Qx0uOiXmo0Nh&#10;85LMRpyN3WwcQtT7rmxRrgfh3SFhE6W3XGGEnQrjyAq7ab3yTvx5L1lPv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rMFyQEAAJoDAAAOAAAAAAAAAAEAIAAAAB4BAABkcnMvZTJvRG9j&#10;LnhtbFBLBQYAAAAABgAGAFkBAABZBQAAAAA=&#10;">
              <v:fill on="f" focussize="0,0"/>
              <v:stroke on="f"/>
              <v:imagedata o:title=""/>
              <o:lock v:ext="edit" aspectratio="f"/>
              <v:textbox inset="0mm,0mm,0mm,0mm" style="mso-fit-shape-to-text:t;">
                <w:txbxContent>
                  <w:p w14:paraId="79229036">
                    <w:pPr>
                      <w:pStyle w:val="8"/>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35BF8"/>
    <w:multiLevelType w:val="multilevel"/>
    <w:tmpl w:val="01235BF8"/>
    <w:lvl w:ilvl="0" w:tentative="0">
      <w:start w:val="1"/>
      <w:numFmt w:val="lowerLetter"/>
      <w:pStyle w:val="50"/>
      <w:lvlText w:val="%1)"/>
      <w:lvlJc w:val="left"/>
      <w:pPr>
        <w:tabs>
          <w:tab w:val="left" w:pos="851"/>
        </w:tabs>
        <w:ind w:left="851" w:hanging="426"/>
      </w:pPr>
      <w:rPr>
        <w:rFonts w:hint="eastAsia" w:ascii="宋体" w:hAnsi="Times New Roman" w:eastAsia="宋体"/>
        <w:sz w:val="21"/>
      </w:rPr>
    </w:lvl>
    <w:lvl w:ilvl="1" w:tentative="0">
      <w:start w:val="1"/>
      <w:numFmt w:val="decimal"/>
      <w:pStyle w:val="44"/>
      <w:lvlText w:val="%2)"/>
      <w:lvlJc w:val="left"/>
      <w:pPr>
        <w:tabs>
          <w:tab w:val="left" w:pos="1276"/>
        </w:tabs>
        <w:ind w:left="1276" w:hanging="425"/>
      </w:pPr>
      <w:rPr>
        <w:rFonts w:hint="eastAsia" w:ascii="宋体" w:hAnsi="Times New Roman" w:eastAsia="宋体"/>
        <w:sz w:val="21"/>
      </w:rPr>
    </w:lvl>
    <w:lvl w:ilvl="2" w:tentative="0">
      <w:start w:val="1"/>
      <w:numFmt w:val="decimal"/>
      <w:pStyle w:val="4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46260FA"/>
    <w:multiLevelType w:val="multilevel"/>
    <w:tmpl w:val="646260FA"/>
    <w:lvl w:ilvl="0" w:tentative="0">
      <w:start w:val="1"/>
      <w:numFmt w:val="decimal"/>
      <w:pStyle w:val="4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6DBF04F4"/>
    <w:multiLevelType w:val="multilevel"/>
    <w:tmpl w:val="6DBF04F4"/>
    <w:lvl w:ilvl="0" w:tentative="0">
      <w:start w:val="1"/>
      <w:numFmt w:val="none"/>
      <w:pStyle w:val="5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45"/>
    <w:rsid w:val="00025CD7"/>
    <w:rsid w:val="00057188"/>
    <w:rsid w:val="00070970"/>
    <w:rsid w:val="00080C9E"/>
    <w:rsid w:val="0008193A"/>
    <w:rsid w:val="000A4A73"/>
    <w:rsid w:val="000D5C89"/>
    <w:rsid w:val="00130491"/>
    <w:rsid w:val="00151511"/>
    <w:rsid w:val="001A60F5"/>
    <w:rsid w:val="001C7CDB"/>
    <w:rsid w:val="001D489D"/>
    <w:rsid w:val="0026721E"/>
    <w:rsid w:val="00270C9B"/>
    <w:rsid w:val="002F017E"/>
    <w:rsid w:val="00310C53"/>
    <w:rsid w:val="00330413"/>
    <w:rsid w:val="00337F3B"/>
    <w:rsid w:val="00361047"/>
    <w:rsid w:val="00372FD4"/>
    <w:rsid w:val="00375845"/>
    <w:rsid w:val="00383175"/>
    <w:rsid w:val="003E1656"/>
    <w:rsid w:val="003E56F3"/>
    <w:rsid w:val="003E5BE5"/>
    <w:rsid w:val="004176B3"/>
    <w:rsid w:val="004306F6"/>
    <w:rsid w:val="00440C4F"/>
    <w:rsid w:val="004645DD"/>
    <w:rsid w:val="004932EF"/>
    <w:rsid w:val="004C016B"/>
    <w:rsid w:val="004C3185"/>
    <w:rsid w:val="004F0FD6"/>
    <w:rsid w:val="004F21D2"/>
    <w:rsid w:val="00510AB7"/>
    <w:rsid w:val="005228AA"/>
    <w:rsid w:val="00566315"/>
    <w:rsid w:val="00583534"/>
    <w:rsid w:val="005A2CEB"/>
    <w:rsid w:val="005A2FCC"/>
    <w:rsid w:val="005C0FBB"/>
    <w:rsid w:val="005E4FDD"/>
    <w:rsid w:val="005E7262"/>
    <w:rsid w:val="0068115A"/>
    <w:rsid w:val="006F33E7"/>
    <w:rsid w:val="006F5B0F"/>
    <w:rsid w:val="007320A0"/>
    <w:rsid w:val="00733430"/>
    <w:rsid w:val="007773FB"/>
    <w:rsid w:val="007A4938"/>
    <w:rsid w:val="007D3AFA"/>
    <w:rsid w:val="007E3409"/>
    <w:rsid w:val="007E4234"/>
    <w:rsid w:val="007E46CD"/>
    <w:rsid w:val="007F2F8B"/>
    <w:rsid w:val="00810F9D"/>
    <w:rsid w:val="00844B52"/>
    <w:rsid w:val="00850F72"/>
    <w:rsid w:val="008522BF"/>
    <w:rsid w:val="00883535"/>
    <w:rsid w:val="008C6478"/>
    <w:rsid w:val="008D3506"/>
    <w:rsid w:val="008E17AB"/>
    <w:rsid w:val="008F379B"/>
    <w:rsid w:val="008F44AB"/>
    <w:rsid w:val="009019CA"/>
    <w:rsid w:val="00921303"/>
    <w:rsid w:val="00934413"/>
    <w:rsid w:val="00947BC8"/>
    <w:rsid w:val="00954293"/>
    <w:rsid w:val="00996B70"/>
    <w:rsid w:val="009B7056"/>
    <w:rsid w:val="009C2BEF"/>
    <w:rsid w:val="00A1124D"/>
    <w:rsid w:val="00A160C9"/>
    <w:rsid w:val="00A203B3"/>
    <w:rsid w:val="00A24EF5"/>
    <w:rsid w:val="00A86765"/>
    <w:rsid w:val="00A96446"/>
    <w:rsid w:val="00B202E6"/>
    <w:rsid w:val="00BB1A70"/>
    <w:rsid w:val="00BD3FE7"/>
    <w:rsid w:val="00C26FAF"/>
    <w:rsid w:val="00C4209F"/>
    <w:rsid w:val="00C65FDC"/>
    <w:rsid w:val="00C761B2"/>
    <w:rsid w:val="00CC0AEB"/>
    <w:rsid w:val="00CC3832"/>
    <w:rsid w:val="00CC537C"/>
    <w:rsid w:val="00CC7594"/>
    <w:rsid w:val="00CD3F18"/>
    <w:rsid w:val="00CE5308"/>
    <w:rsid w:val="00D14AC2"/>
    <w:rsid w:val="00D4545F"/>
    <w:rsid w:val="00D61494"/>
    <w:rsid w:val="00DB3666"/>
    <w:rsid w:val="00DC7B0F"/>
    <w:rsid w:val="00DD0680"/>
    <w:rsid w:val="00DF58C0"/>
    <w:rsid w:val="00E1435C"/>
    <w:rsid w:val="00E16BB2"/>
    <w:rsid w:val="00E63B5D"/>
    <w:rsid w:val="00E84C56"/>
    <w:rsid w:val="00E947BE"/>
    <w:rsid w:val="00EB2B59"/>
    <w:rsid w:val="00EB7D34"/>
    <w:rsid w:val="00EE24BB"/>
    <w:rsid w:val="00F01A4A"/>
    <w:rsid w:val="00F972C3"/>
    <w:rsid w:val="019A7FF6"/>
    <w:rsid w:val="0280025F"/>
    <w:rsid w:val="04E547F0"/>
    <w:rsid w:val="06152D18"/>
    <w:rsid w:val="068917B2"/>
    <w:rsid w:val="09662CC8"/>
    <w:rsid w:val="09C1737F"/>
    <w:rsid w:val="09F0045A"/>
    <w:rsid w:val="0AAA4155"/>
    <w:rsid w:val="0B9D1D7C"/>
    <w:rsid w:val="0C38481E"/>
    <w:rsid w:val="0CD030A2"/>
    <w:rsid w:val="0D11E664"/>
    <w:rsid w:val="0DDF1484"/>
    <w:rsid w:val="0E8A0A3F"/>
    <w:rsid w:val="0EEC0631"/>
    <w:rsid w:val="0FE33CF5"/>
    <w:rsid w:val="10D73C7A"/>
    <w:rsid w:val="12391916"/>
    <w:rsid w:val="139737F0"/>
    <w:rsid w:val="15BF7CF9"/>
    <w:rsid w:val="16261924"/>
    <w:rsid w:val="166853A2"/>
    <w:rsid w:val="1674038B"/>
    <w:rsid w:val="177D3433"/>
    <w:rsid w:val="199A1330"/>
    <w:rsid w:val="1BBA2052"/>
    <w:rsid w:val="1BEA7C6B"/>
    <w:rsid w:val="1C7A4634"/>
    <w:rsid w:val="1C8C3C34"/>
    <w:rsid w:val="1D4E6DE0"/>
    <w:rsid w:val="1D8005BF"/>
    <w:rsid w:val="1EF03C04"/>
    <w:rsid w:val="1F072E77"/>
    <w:rsid w:val="1F5764A3"/>
    <w:rsid w:val="1FF47F36"/>
    <w:rsid w:val="1FFB0B59"/>
    <w:rsid w:val="206F05BD"/>
    <w:rsid w:val="22C85BD9"/>
    <w:rsid w:val="23D711FC"/>
    <w:rsid w:val="23F102F4"/>
    <w:rsid w:val="24A0079F"/>
    <w:rsid w:val="24A31AF9"/>
    <w:rsid w:val="24E335CC"/>
    <w:rsid w:val="25491CE3"/>
    <w:rsid w:val="258D5A07"/>
    <w:rsid w:val="25BFF24D"/>
    <w:rsid w:val="26FB3097"/>
    <w:rsid w:val="299B49DC"/>
    <w:rsid w:val="2BCA057B"/>
    <w:rsid w:val="2CED2585"/>
    <w:rsid w:val="2D390D0A"/>
    <w:rsid w:val="2D544FE8"/>
    <w:rsid w:val="2DBFB33C"/>
    <w:rsid w:val="2DD64106"/>
    <w:rsid w:val="2E3C12B0"/>
    <w:rsid w:val="2EA15600"/>
    <w:rsid w:val="2FDE71AC"/>
    <w:rsid w:val="2FFFD983"/>
    <w:rsid w:val="301347EB"/>
    <w:rsid w:val="30337FA8"/>
    <w:rsid w:val="304972B3"/>
    <w:rsid w:val="30AD57C0"/>
    <w:rsid w:val="3310196E"/>
    <w:rsid w:val="34FFF504"/>
    <w:rsid w:val="359B3C11"/>
    <w:rsid w:val="369C27B8"/>
    <w:rsid w:val="37B9E259"/>
    <w:rsid w:val="37CB701A"/>
    <w:rsid w:val="3A2F6DF9"/>
    <w:rsid w:val="3AB7B229"/>
    <w:rsid w:val="3AE60C3D"/>
    <w:rsid w:val="3C105F30"/>
    <w:rsid w:val="3C385F60"/>
    <w:rsid w:val="3D247928"/>
    <w:rsid w:val="3E1787A7"/>
    <w:rsid w:val="3EC926F8"/>
    <w:rsid w:val="3F6697F0"/>
    <w:rsid w:val="3F8B7A51"/>
    <w:rsid w:val="3FFB6844"/>
    <w:rsid w:val="3FFE0B50"/>
    <w:rsid w:val="401235D6"/>
    <w:rsid w:val="40356D2F"/>
    <w:rsid w:val="41515A2D"/>
    <w:rsid w:val="426F214B"/>
    <w:rsid w:val="42A8010E"/>
    <w:rsid w:val="44B63114"/>
    <w:rsid w:val="45964FC9"/>
    <w:rsid w:val="45DC171E"/>
    <w:rsid w:val="463521AB"/>
    <w:rsid w:val="46FD1AC5"/>
    <w:rsid w:val="46FF9108"/>
    <w:rsid w:val="47751A12"/>
    <w:rsid w:val="48314A24"/>
    <w:rsid w:val="486378FE"/>
    <w:rsid w:val="49C25430"/>
    <w:rsid w:val="4BE62BC7"/>
    <w:rsid w:val="4C504FA5"/>
    <w:rsid w:val="4DCC1375"/>
    <w:rsid w:val="4E525FDF"/>
    <w:rsid w:val="4F7D94DD"/>
    <w:rsid w:val="4F9C0F8F"/>
    <w:rsid w:val="4FFFAAE2"/>
    <w:rsid w:val="50277AD9"/>
    <w:rsid w:val="50BC6025"/>
    <w:rsid w:val="50E64FA2"/>
    <w:rsid w:val="52315920"/>
    <w:rsid w:val="53456EF5"/>
    <w:rsid w:val="5419323A"/>
    <w:rsid w:val="545C3CD9"/>
    <w:rsid w:val="567C18B5"/>
    <w:rsid w:val="57096CD9"/>
    <w:rsid w:val="57270596"/>
    <w:rsid w:val="572E1E5C"/>
    <w:rsid w:val="57607748"/>
    <w:rsid w:val="5793526A"/>
    <w:rsid w:val="58682603"/>
    <w:rsid w:val="5A857620"/>
    <w:rsid w:val="5A96754D"/>
    <w:rsid w:val="5AED2089"/>
    <w:rsid w:val="5AF12D08"/>
    <w:rsid w:val="5BA11F63"/>
    <w:rsid w:val="5CDD70DB"/>
    <w:rsid w:val="5DF67700"/>
    <w:rsid w:val="5E4E7AA8"/>
    <w:rsid w:val="5ED3554B"/>
    <w:rsid w:val="5F58615C"/>
    <w:rsid w:val="5FCF81AB"/>
    <w:rsid w:val="5FDF5237"/>
    <w:rsid w:val="5FF739D8"/>
    <w:rsid w:val="5FF9544B"/>
    <w:rsid w:val="60827A04"/>
    <w:rsid w:val="60F732D2"/>
    <w:rsid w:val="61FADD49"/>
    <w:rsid w:val="622B7956"/>
    <w:rsid w:val="62BE22B4"/>
    <w:rsid w:val="63DE5A9B"/>
    <w:rsid w:val="640D787D"/>
    <w:rsid w:val="645715A6"/>
    <w:rsid w:val="649A30ED"/>
    <w:rsid w:val="664512F0"/>
    <w:rsid w:val="66FD8906"/>
    <w:rsid w:val="67FAA3B9"/>
    <w:rsid w:val="69401044"/>
    <w:rsid w:val="6A307337"/>
    <w:rsid w:val="6BCC5D96"/>
    <w:rsid w:val="6E4251A7"/>
    <w:rsid w:val="6EFDE37B"/>
    <w:rsid w:val="6F28297B"/>
    <w:rsid w:val="6F7B8C99"/>
    <w:rsid w:val="6F7BE684"/>
    <w:rsid w:val="6FB196F4"/>
    <w:rsid w:val="6FF77DAE"/>
    <w:rsid w:val="7017162E"/>
    <w:rsid w:val="7022565C"/>
    <w:rsid w:val="70BF54BF"/>
    <w:rsid w:val="70C105BE"/>
    <w:rsid w:val="71F77186"/>
    <w:rsid w:val="72FD4C93"/>
    <w:rsid w:val="72FF33FF"/>
    <w:rsid w:val="735871D3"/>
    <w:rsid w:val="737DBA4C"/>
    <w:rsid w:val="74491426"/>
    <w:rsid w:val="754B7D94"/>
    <w:rsid w:val="757A3724"/>
    <w:rsid w:val="75BCD042"/>
    <w:rsid w:val="75EF444D"/>
    <w:rsid w:val="75F369D5"/>
    <w:rsid w:val="760330D6"/>
    <w:rsid w:val="7781248B"/>
    <w:rsid w:val="77AFB6CC"/>
    <w:rsid w:val="77FF2602"/>
    <w:rsid w:val="78793D1C"/>
    <w:rsid w:val="7999AE9E"/>
    <w:rsid w:val="79ED43DA"/>
    <w:rsid w:val="79F73ED6"/>
    <w:rsid w:val="7ADFF3C9"/>
    <w:rsid w:val="7AEFA755"/>
    <w:rsid w:val="7AF22EA4"/>
    <w:rsid w:val="7B600641"/>
    <w:rsid w:val="7B6223C3"/>
    <w:rsid w:val="7B6EAB74"/>
    <w:rsid w:val="7BFA763D"/>
    <w:rsid w:val="7C7E727A"/>
    <w:rsid w:val="7CEB12E3"/>
    <w:rsid w:val="7D76BD5D"/>
    <w:rsid w:val="7DBB8BDF"/>
    <w:rsid w:val="7EEF69FD"/>
    <w:rsid w:val="7EFEB97A"/>
    <w:rsid w:val="7F5711B7"/>
    <w:rsid w:val="7F6FF92B"/>
    <w:rsid w:val="7F7F725F"/>
    <w:rsid w:val="7F9F446C"/>
    <w:rsid w:val="7FAEBB69"/>
    <w:rsid w:val="7FAFB252"/>
    <w:rsid w:val="7FFFEC5E"/>
    <w:rsid w:val="97FED9B9"/>
    <w:rsid w:val="9DE73914"/>
    <w:rsid w:val="AEB72D23"/>
    <w:rsid w:val="AFFEEB7A"/>
    <w:rsid w:val="B1FE1DE8"/>
    <w:rsid w:val="B5FFDD49"/>
    <w:rsid w:val="B7BC0B67"/>
    <w:rsid w:val="B7E6BC9E"/>
    <w:rsid w:val="B7FF7B63"/>
    <w:rsid w:val="BA7B23C6"/>
    <w:rsid w:val="BB3B2340"/>
    <w:rsid w:val="BB5F81DB"/>
    <w:rsid w:val="BDFFF0A5"/>
    <w:rsid w:val="BFFBD9B7"/>
    <w:rsid w:val="CBBFDAC1"/>
    <w:rsid w:val="D63EC903"/>
    <w:rsid w:val="D7E748EA"/>
    <w:rsid w:val="DB743D56"/>
    <w:rsid w:val="DDFEE983"/>
    <w:rsid w:val="DE7F9543"/>
    <w:rsid w:val="DEDFDE62"/>
    <w:rsid w:val="DFF7E9E8"/>
    <w:rsid w:val="E0EE1CD7"/>
    <w:rsid w:val="E5749AF6"/>
    <w:rsid w:val="EBEE5479"/>
    <w:rsid w:val="ECF5F11E"/>
    <w:rsid w:val="EF7E9148"/>
    <w:rsid w:val="EF9F6F23"/>
    <w:rsid w:val="EFEBAF37"/>
    <w:rsid w:val="EFEE7707"/>
    <w:rsid w:val="EFF74AF5"/>
    <w:rsid w:val="EFFD4596"/>
    <w:rsid w:val="EFFFBCB7"/>
    <w:rsid w:val="F245DB45"/>
    <w:rsid w:val="F577C5A4"/>
    <w:rsid w:val="F6750F65"/>
    <w:rsid w:val="F74F4E85"/>
    <w:rsid w:val="F76DB887"/>
    <w:rsid w:val="F77FA1CC"/>
    <w:rsid w:val="F7F77805"/>
    <w:rsid w:val="FAC7D59B"/>
    <w:rsid w:val="FBA53283"/>
    <w:rsid w:val="FBBFAC16"/>
    <w:rsid w:val="FBCBDDF5"/>
    <w:rsid w:val="FBF9C444"/>
    <w:rsid w:val="FCFBA41D"/>
    <w:rsid w:val="FDDB84DC"/>
    <w:rsid w:val="FE7A2BF4"/>
    <w:rsid w:val="FEFA6273"/>
    <w:rsid w:val="FF3D227F"/>
    <w:rsid w:val="FF3FD729"/>
    <w:rsid w:val="FF6D225D"/>
    <w:rsid w:val="FF7EF1D2"/>
    <w:rsid w:val="FFB3D223"/>
    <w:rsid w:val="FFB73A57"/>
    <w:rsid w:val="FFBB7EE1"/>
    <w:rsid w:val="FFDF740D"/>
    <w:rsid w:val="FFEF8231"/>
    <w:rsid w:val="FFF66FEF"/>
    <w:rsid w:val="FFFE2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FangSong_GB2312" w:cs="Times New Roman"/>
      <w:kern w:val="2"/>
      <w:sz w:val="32"/>
      <w:lang w:val="en-US" w:eastAsia="zh-CN" w:bidi="ar-SA"/>
    </w:rPr>
  </w:style>
  <w:style w:type="paragraph" w:styleId="3">
    <w:name w:val="heading 7"/>
    <w:basedOn w:val="1"/>
    <w:next w:val="1"/>
    <w:link w:val="22"/>
    <w:qFormat/>
    <w:uiPriority w:val="0"/>
    <w:pPr>
      <w:keepNext/>
      <w:keepLines/>
      <w:widowControl w:val="0"/>
      <w:kinsoku/>
      <w:autoSpaceDE/>
      <w:autoSpaceDN/>
      <w:adjustRightInd/>
      <w:snapToGrid/>
      <w:spacing w:before="240" w:after="64" w:line="320" w:lineRule="auto"/>
      <w:jc w:val="both"/>
      <w:textAlignment w:val="auto"/>
      <w:outlineLvl w:val="6"/>
    </w:pPr>
    <w:rPr>
      <w:rFonts w:ascii="Calibri" w:hAnsi="Calibri" w:eastAsia="宋体" w:cs="Times New Roman"/>
      <w:b/>
      <w:bCs/>
      <w:snapToGrid/>
      <w:color w:val="auto"/>
      <w:kern w:val="2"/>
      <w:sz w:val="24"/>
      <w:szCs w:val="24"/>
      <w:lang w:eastAsia="zh-CN"/>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99"/>
    <w:pPr>
      <w:widowControl/>
      <w:kinsoku w:val="0"/>
      <w:autoSpaceDE w:val="0"/>
      <w:autoSpaceDN w:val="0"/>
      <w:adjustRightInd w:val="0"/>
      <w:snapToGrid w:val="0"/>
      <w:jc w:val="left"/>
      <w:textAlignment w:val="baseline"/>
    </w:pPr>
    <w:rPr>
      <w:rFonts w:ascii="Calibri" w:hAnsi="Calibri" w:eastAsia="宋体" w:cs="Times New Roman"/>
      <w:snapToGrid w:val="0"/>
      <w:color w:val="000000"/>
      <w:kern w:val="0"/>
      <w:sz w:val="18"/>
      <w:szCs w:val="22"/>
      <w:lang w:eastAsia="en-US"/>
    </w:rPr>
  </w:style>
  <w:style w:type="paragraph" w:styleId="4">
    <w:name w:val="annotation text"/>
    <w:basedOn w:val="1"/>
    <w:link w:val="23"/>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21"/>
      <w:szCs w:val="21"/>
      <w:lang w:eastAsia="en-US"/>
    </w:rPr>
  </w:style>
  <w:style w:type="paragraph" w:styleId="5">
    <w:name w:val="Body Text"/>
    <w:basedOn w:val="1"/>
    <w:semiHidden/>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28"/>
      <w:szCs w:val="28"/>
      <w:lang w:eastAsia="en-US"/>
    </w:rPr>
  </w:style>
  <w:style w:type="paragraph" w:styleId="6">
    <w:name w:val="Body Text Indent"/>
    <w:basedOn w:val="1"/>
    <w:qFormat/>
    <w:uiPriority w:val="0"/>
    <w:pPr>
      <w:widowControl/>
      <w:kinsoku w:val="0"/>
      <w:autoSpaceDE w:val="0"/>
      <w:autoSpaceDN w:val="0"/>
      <w:adjustRightInd w:val="0"/>
      <w:snapToGrid w:val="0"/>
      <w:spacing w:line="580" w:lineRule="exact"/>
      <w:ind w:firstLine="576" w:firstLineChars="200"/>
      <w:jc w:val="left"/>
      <w:textAlignment w:val="baseline"/>
    </w:pPr>
    <w:rPr>
      <w:rFonts w:ascii="FangSong_GB2312" w:hAnsi="Arial" w:eastAsia="FangSong_GB2312" w:cs="Arial"/>
      <w:snapToGrid w:val="0"/>
      <w:color w:val="000000"/>
      <w:spacing w:val="-6"/>
      <w:kern w:val="0"/>
      <w:sz w:val="30"/>
      <w:szCs w:val="21"/>
      <w:lang w:eastAsia="en-US"/>
    </w:rPr>
  </w:style>
  <w:style w:type="paragraph" w:styleId="7">
    <w:name w:val="Balloon Text"/>
    <w:basedOn w:val="1"/>
    <w:link w:val="24"/>
    <w:qFormat/>
    <w:uiPriority w:val="99"/>
    <w:rPr>
      <w:kern w:val="0"/>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eastAsia="宋体"/>
      <w:kern w:val="0"/>
      <w:sz w:val="18"/>
      <w:szCs w:val="18"/>
    </w:rPr>
  </w:style>
  <w:style w:type="paragraph" w:styleId="9">
    <w:name w:val="header"/>
    <w:basedOn w:val="1"/>
    <w:link w:val="26"/>
    <w:qFormat/>
    <w:uiPriority w:val="0"/>
    <w:pPr>
      <w:tabs>
        <w:tab w:val="center" w:pos="4153"/>
        <w:tab w:val="right" w:pos="8306"/>
      </w:tabs>
      <w:snapToGrid w:val="0"/>
      <w:jc w:val="center"/>
    </w:pPr>
    <w:rPr>
      <w:rFonts w:ascii="Calibri" w:hAnsi="Calibri" w:eastAsia="宋体"/>
      <w:kern w:val="0"/>
      <w:sz w:val="18"/>
      <w:szCs w:val="18"/>
    </w:rPr>
  </w:style>
  <w:style w:type="paragraph" w:styleId="10">
    <w:name w:val="toc 1"/>
    <w:basedOn w:val="1"/>
    <w:next w:val="1"/>
    <w:unhideWhenUsed/>
    <w:qFormat/>
    <w:uiPriority w:val="39"/>
    <w:pPr>
      <w:widowControl w:val="0"/>
      <w:kinsoku/>
      <w:autoSpaceDE/>
      <w:autoSpaceDN/>
      <w:adjustRightInd w:val="0"/>
      <w:snapToGrid/>
      <w:spacing w:line="400" w:lineRule="exact"/>
      <w:jc w:val="both"/>
      <w:textAlignment w:val="auto"/>
    </w:pPr>
    <w:rPr>
      <w:rFonts w:ascii="宋体" w:hAnsi="Calibri" w:eastAsia="宋体" w:cs="Times New Roman"/>
      <w:snapToGrid/>
      <w:color w:val="auto"/>
      <w:kern w:val="2"/>
      <w:sz w:val="21"/>
      <w:szCs w:val="21"/>
      <w:lang w:eastAsia="zh-CN"/>
    </w:rPr>
  </w:style>
  <w:style w:type="paragraph" w:styleId="11">
    <w:name w:val="toc 2"/>
    <w:basedOn w:val="1"/>
    <w:next w:val="1"/>
    <w:unhideWhenUsed/>
    <w:qFormat/>
    <w:uiPriority w:val="39"/>
    <w:pPr>
      <w:widowControl w:val="0"/>
      <w:tabs>
        <w:tab w:val="right" w:leader="dot" w:pos="9344"/>
      </w:tabs>
      <w:kinsoku/>
      <w:autoSpaceDE/>
      <w:autoSpaceDN/>
      <w:adjustRightInd w:val="0"/>
      <w:snapToGrid/>
      <w:spacing w:line="300" w:lineRule="exact"/>
      <w:ind w:left="210"/>
      <w:jc w:val="both"/>
      <w:textAlignment w:val="auto"/>
    </w:pPr>
    <w:rPr>
      <w:rFonts w:ascii="宋体" w:hAnsi="Calibri" w:eastAsia="宋体" w:cs="Times New Roman"/>
      <w:snapToGrid/>
      <w:color w:val="auto"/>
      <w:kern w:val="2"/>
      <w:sz w:val="21"/>
      <w:szCs w:val="21"/>
      <w:lang w:eastAsia="zh-CN"/>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jc w:val="left"/>
      <w:textAlignment w:val="baseline"/>
    </w:pPr>
    <w:rPr>
      <w:rFonts w:hint="eastAsia" w:ascii="宋体" w:hAnsi="宋体" w:eastAsia="宋体" w:cs="宋体"/>
      <w:snapToGrid w:val="0"/>
      <w:color w:val="000000"/>
      <w:kern w:val="0"/>
      <w:sz w:val="24"/>
      <w:szCs w:val="24"/>
      <w:lang w:val="en-US" w:eastAsia="zh-CN" w:bidi="ar"/>
    </w:rPr>
  </w:style>
  <w:style w:type="paragraph" w:styleId="13">
    <w:name w:val="Normal (Web)"/>
    <w:basedOn w:val="1"/>
    <w:qFormat/>
    <w:uiPriority w:val="0"/>
    <w:pPr>
      <w:widowControl/>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4">
    <w:name w:val="annotation subject"/>
    <w:basedOn w:val="4"/>
    <w:next w:val="4"/>
    <w:link w:val="27"/>
    <w:qFormat/>
    <w:uiPriority w:val="0"/>
    <w:rPr>
      <w:b/>
      <w:bCs/>
    </w:rPr>
  </w:style>
  <w:style w:type="paragraph" w:styleId="15">
    <w:name w:val="Body Text First Indent 2"/>
    <w:basedOn w:val="6"/>
    <w:qFormat/>
    <w:uiPriority w:val="99"/>
    <w:pPr>
      <w:ind w:firstLine="420"/>
    </w:pPr>
    <w:rPr>
      <w:sz w:val="28"/>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uiPriority w:val="0"/>
    <w:rPr>
      <w:rFonts w:ascii="Times New Roman" w:hAnsi="Times New Roman" w:eastAsia="宋体" w:cs="Times New Roman"/>
      <w:color w:val="333333"/>
      <w:u w:val="none"/>
    </w:rPr>
  </w:style>
  <w:style w:type="character" w:styleId="20">
    <w:name w:val="Hyperlink"/>
    <w:unhideWhenUsed/>
    <w:qFormat/>
    <w:uiPriority w:val="99"/>
    <w:rPr>
      <w:rFonts w:ascii="Times New Roman" w:hAnsi="Times New Roman" w:eastAsia="宋体" w:cs="Times New Roman"/>
      <w:color w:val="333333"/>
      <w:u w:val="none"/>
    </w:rPr>
  </w:style>
  <w:style w:type="character" w:styleId="21">
    <w:name w:val="annotation reference"/>
    <w:qFormat/>
    <w:uiPriority w:val="99"/>
    <w:rPr>
      <w:rFonts w:ascii="Times New Roman" w:hAnsi="Times New Roman" w:eastAsia="宋体" w:cs="Times New Roman"/>
      <w:sz w:val="21"/>
      <w:szCs w:val="21"/>
    </w:rPr>
  </w:style>
  <w:style w:type="character" w:customStyle="1" w:styleId="22">
    <w:name w:val="标题 7 Char"/>
    <w:link w:val="3"/>
    <w:qFormat/>
    <w:uiPriority w:val="0"/>
    <w:rPr>
      <w:rFonts w:ascii="Calibri" w:hAnsi="Calibri" w:eastAsia="宋体" w:cs="Times New Roman"/>
      <w:b/>
      <w:bCs/>
      <w:snapToGrid/>
      <w:color w:val="auto"/>
      <w:kern w:val="2"/>
      <w:sz w:val="24"/>
      <w:szCs w:val="24"/>
      <w:lang w:eastAsia="zh-CN"/>
    </w:rPr>
  </w:style>
  <w:style w:type="character" w:customStyle="1" w:styleId="23">
    <w:name w:val="批注文字 Char"/>
    <w:link w:val="4"/>
    <w:qFormat/>
    <w:uiPriority w:val="0"/>
    <w:rPr>
      <w:rFonts w:ascii="Times New Roman" w:hAnsi="Times New Roman" w:eastAsia="宋体" w:cs="Times New Roman"/>
    </w:rPr>
  </w:style>
  <w:style w:type="character" w:customStyle="1" w:styleId="24">
    <w:name w:val="批注框文本 Char"/>
    <w:link w:val="7"/>
    <w:semiHidden/>
    <w:uiPriority w:val="99"/>
    <w:rPr>
      <w:rFonts w:ascii="Times New Roman" w:hAnsi="Times New Roman" w:eastAsia="FangSong_GB2312" w:cs="Times New Roman"/>
      <w:sz w:val="18"/>
      <w:szCs w:val="18"/>
    </w:rPr>
  </w:style>
  <w:style w:type="character" w:customStyle="1" w:styleId="25">
    <w:name w:val="页脚 Char"/>
    <w:link w:val="8"/>
    <w:semiHidden/>
    <w:uiPriority w:val="99"/>
    <w:rPr>
      <w:sz w:val="18"/>
      <w:szCs w:val="18"/>
    </w:rPr>
  </w:style>
  <w:style w:type="character" w:customStyle="1" w:styleId="26">
    <w:name w:val="页眉 Char"/>
    <w:link w:val="9"/>
    <w:uiPriority w:val="99"/>
    <w:rPr>
      <w:sz w:val="18"/>
      <w:szCs w:val="18"/>
    </w:rPr>
  </w:style>
  <w:style w:type="character" w:customStyle="1" w:styleId="27">
    <w:name w:val="批注主题 Char"/>
    <w:link w:val="14"/>
    <w:qFormat/>
    <w:uiPriority w:val="0"/>
    <w:rPr>
      <w:b/>
      <w:bCs/>
    </w:rPr>
  </w:style>
  <w:style w:type="character" w:customStyle="1" w:styleId="28">
    <w:name w:val="unnamed11"/>
    <w:uiPriority w:val="0"/>
    <w:rPr>
      <w:rFonts w:hint="eastAsia" w:ascii="宋体" w:hAnsi="宋体" w:eastAsia="宋体"/>
      <w:sz w:val="21"/>
      <w:szCs w:val="21"/>
    </w:rPr>
  </w:style>
  <w:style w:type="paragraph" w:customStyle="1" w:styleId="29">
    <w:name w:val="正文（正式）"/>
    <w:basedOn w:val="1"/>
    <w:uiPriority w:val="0"/>
    <w:pPr>
      <w:widowControl/>
      <w:spacing w:after="160" w:line="240" w:lineRule="exact"/>
      <w:jc w:val="left"/>
    </w:pPr>
    <w:rPr>
      <w:rFonts w:ascii="Verdana" w:hAnsi="Verdana"/>
      <w:kern w:val="0"/>
      <w:sz w:val="28"/>
      <w:lang w:eastAsia="en-US"/>
    </w:rPr>
  </w:style>
  <w:style w:type="character" w:customStyle="1" w:styleId="30">
    <w:name w:val="hover14"/>
    <w:qFormat/>
    <w:uiPriority w:val="0"/>
    <w:rPr>
      <w:rFonts w:ascii="Times New Roman" w:hAnsi="Times New Roman" w:eastAsia="宋体" w:cs="Times New Roman"/>
      <w:shd w:val="clear" w:color="auto" w:fill="929292"/>
    </w:rPr>
  </w:style>
  <w:style w:type="character" w:customStyle="1" w:styleId="31">
    <w:name w:val="article-icon"/>
    <w:qFormat/>
    <w:uiPriority w:val="0"/>
    <w:rPr>
      <w:rFonts w:ascii="Times New Roman" w:hAnsi="Times New Roman" w:eastAsia="宋体" w:cs="Times New Roman"/>
    </w:rPr>
  </w:style>
  <w:style w:type="table" w:customStyle="1" w:styleId="3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3">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4">
    <w:name w:val="标准文件_正文标准名称"/>
    <w:basedOn w:val="1"/>
    <w:qFormat/>
    <w:uiPriority w:val="0"/>
    <w:pPr>
      <w:widowControl/>
      <w:kinsoku w:val="0"/>
      <w:autoSpaceDE w:val="0"/>
      <w:autoSpaceDN w:val="0"/>
      <w:adjustRightInd/>
      <w:snapToGrid w:val="0"/>
      <w:spacing w:before="560" w:after="640" w:line="400" w:lineRule="exact"/>
      <w:jc w:val="center"/>
      <w:textAlignment w:val="baseline"/>
    </w:pPr>
    <w:rPr>
      <w:rFonts w:hint="eastAsia" w:ascii="黑体" w:hAnsi="宋体" w:eastAsia="黑体" w:cs="Times New Roman"/>
      <w:snapToGrid w:val="0"/>
      <w:color w:val="000000"/>
      <w:kern w:val="2"/>
      <w:sz w:val="32"/>
      <w:szCs w:val="32"/>
      <w:lang w:eastAsia="zh-CN"/>
    </w:rPr>
  </w:style>
  <w:style w:type="character" w:customStyle="1" w:styleId="35">
    <w:name w:val="标准文件_段 Char"/>
    <w:link w:val="36"/>
    <w:qFormat/>
    <w:uiPriority w:val="0"/>
    <w:rPr>
      <w:rFonts w:hint="eastAsia" w:ascii="宋体" w:hAnsi="Times New Roman" w:eastAsia="宋体" w:cs="Times New Roman"/>
      <w:szCs w:val="20"/>
      <w:lang w:eastAsia="zh-CN"/>
    </w:rPr>
  </w:style>
  <w:style w:type="paragraph" w:customStyle="1" w:styleId="36">
    <w:name w:val="标准文件_段"/>
    <w:basedOn w:val="1"/>
    <w:link w:val="35"/>
    <w:qFormat/>
    <w:uiPriority w:val="0"/>
    <w:pPr>
      <w:widowControl/>
      <w:kinsoku w:val="0"/>
      <w:autoSpaceDE w:val="0"/>
      <w:autoSpaceDN w:val="0"/>
      <w:adjustRightInd/>
      <w:snapToGrid w:val="0"/>
      <w:ind w:firstLine="200" w:firstLineChars="200"/>
      <w:jc w:val="both"/>
      <w:textAlignment w:val="baseline"/>
    </w:pPr>
    <w:rPr>
      <w:rFonts w:hint="eastAsia" w:ascii="宋体" w:hAnsi="Times New Roman" w:eastAsia="宋体" w:cs="Times New Roman"/>
      <w:snapToGrid w:val="0"/>
      <w:color w:val="000000"/>
      <w:kern w:val="0"/>
      <w:sz w:val="21"/>
      <w:szCs w:val="20"/>
      <w:lang w:eastAsia="zh-CN"/>
    </w:rPr>
  </w:style>
  <w:style w:type="paragraph" w:customStyle="1" w:styleId="37">
    <w:name w:val="标准文件_参考文献标题"/>
    <w:basedOn w:val="1"/>
    <w:next w:val="1"/>
    <w:qFormat/>
    <w:uiPriority w:val="0"/>
    <w:pPr>
      <w:widowControl/>
      <w:shd w:val="clear" w:color="FFFFFF" w:fill="FFFFFF"/>
      <w:kinsoku/>
      <w:autoSpaceDE/>
      <w:autoSpaceDN/>
      <w:adjustRightInd/>
      <w:snapToGrid/>
      <w:spacing w:before="560" w:after="50" w:afterLines="50"/>
      <w:jc w:val="center"/>
      <w:textAlignment w:val="auto"/>
      <w:outlineLvl w:val="0"/>
    </w:pPr>
    <w:rPr>
      <w:rFonts w:ascii="黑体" w:hAnsi="Calibri" w:eastAsia="黑体" w:cs="Times New Roman"/>
      <w:snapToGrid/>
      <w:color w:val="auto"/>
      <w:kern w:val="0"/>
      <w:sz w:val="21"/>
      <w:szCs w:val="21"/>
      <w:lang w:eastAsia="zh-CN"/>
    </w:rPr>
  </w:style>
  <w:style w:type="paragraph" w:customStyle="1" w:styleId="38">
    <w:name w:val="标准文件_二级条标题"/>
    <w:next w:val="36"/>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9">
    <w:name w:val="标准文件_三级条标题"/>
    <w:basedOn w:val="38"/>
    <w:next w:val="36"/>
    <w:qFormat/>
    <w:uiPriority w:val="0"/>
    <w:pPr>
      <w:widowControl/>
      <w:outlineLvl w:val="3"/>
    </w:pPr>
  </w:style>
  <w:style w:type="paragraph" w:customStyle="1" w:styleId="40">
    <w:name w:val="标准文件_四级条标题"/>
    <w:next w:val="36"/>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1">
    <w:name w:val="标准文件_五级条标题"/>
    <w:next w:val="36"/>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2">
    <w:name w:val="标准文件_章标题"/>
    <w:next w:val="36"/>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3">
    <w:name w:val="标准文件_一级条标题"/>
    <w:basedOn w:val="42"/>
    <w:next w:val="36"/>
    <w:qFormat/>
    <w:uiPriority w:val="0"/>
    <w:pPr>
      <w:spacing w:before="50" w:beforeLines="50" w:after="50" w:afterLines="50"/>
      <w:ind w:left="2978"/>
      <w:outlineLvl w:val="1"/>
    </w:pPr>
  </w:style>
  <w:style w:type="paragraph" w:customStyle="1" w:styleId="44">
    <w:name w:val="标准文件_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45">
    <w:name w:val="标准文件_正文表标题"/>
    <w:next w:val="36"/>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6">
    <w:name w:val="标准文件_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47">
    <w:name w:val="标准文件_一级项"/>
    <w:qFormat/>
    <w:uiPriority w:val="0"/>
    <w:pPr>
      <w:tabs>
        <w:tab w:val="left" w:pos="851"/>
      </w:tabs>
    </w:pPr>
    <w:rPr>
      <w:rFonts w:ascii="宋体" w:hAnsi="Times New Roman" w:eastAsia="宋体" w:cs="Times New Roman"/>
      <w:sz w:val="21"/>
      <w:lang w:val="en-US" w:eastAsia="zh-CN" w:bidi="ar-SA"/>
    </w:rPr>
  </w:style>
  <w:style w:type="paragraph" w:customStyle="1" w:styleId="48">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9">
    <w:name w:val="标准文件_三级项"/>
    <w:basedOn w:val="1"/>
    <w:qFormat/>
    <w:uiPriority w:val="0"/>
    <w:pPr>
      <w:widowControl w:val="0"/>
      <w:tabs>
        <w:tab w:val="left" w:pos="851"/>
      </w:tabs>
      <w:kinsoku/>
      <w:autoSpaceDE/>
      <w:autoSpaceDN/>
      <w:adjustRightInd w:val="0"/>
      <w:snapToGrid/>
      <w:spacing w:line="300" w:lineRule="exact"/>
      <w:jc w:val="both"/>
      <w:textAlignment w:val="auto"/>
    </w:pPr>
    <w:rPr>
      <w:rFonts w:ascii="Times New Roman" w:hAnsi="Times New Roman" w:eastAsia="宋体" w:cs="Times New Roman"/>
      <w:snapToGrid/>
      <w:color w:val="auto"/>
      <w:kern w:val="2"/>
      <w:sz w:val="21"/>
      <w:szCs w:val="21"/>
      <w:lang w:eastAsia="zh-CN"/>
    </w:rPr>
  </w:style>
  <w:style w:type="paragraph" w:customStyle="1" w:styleId="50">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51">
    <w:name w:val="标准文件_注："/>
    <w:next w:val="36"/>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52">
    <w:name w:val="标准文件_二级项2"/>
    <w:basedOn w:val="36"/>
    <w:qFormat/>
    <w:uiPriority w:val="0"/>
    <w:pPr>
      <w:tabs>
        <w:tab w:val="left" w:pos="851"/>
      </w:tabs>
      <w:kinsoku/>
      <w:snapToGrid/>
      <w:ind w:firstLine="0" w:firstLineChars="0"/>
      <w:textAlignment w:val="auto"/>
    </w:pPr>
    <w:rPr>
      <w:rFonts w:hint="default"/>
      <w:snapToGrid/>
      <w:color w:val="auto"/>
    </w:rPr>
  </w:style>
  <w:style w:type="paragraph" w:customStyle="1" w:styleId="53">
    <w:name w:val="标准文件_目录标题"/>
    <w:basedOn w:val="1"/>
    <w:qFormat/>
    <w:uiPriority w:val="0"/>
    <w:pPr>
      <w:widowControl w:val="0"/>
      <w:kinsoku/>
      <w:autoSpaceDE/>
      <w:autoSpaceDN/>
      <w:adjustRightInd w:val="0"/>
      <w:snapToGrid/>
      <w:spacing w:before="480" w:after="150" w:afterLines="150"/>
      <w:jc w:val="center"/>
      <w:textAlignment w:val="auto"/>
    </w:pPr>
    <w:rPr>
      <w:rFonts w:ascii="黑体" w:hAnsi="Calibri" w:eastAsia="黑体" w:cs="Times New Roman"/>
      <w:snapToGrid/>
      <w:color w:val="auto"/>
      <w:kern w:val="2"/>
      <w:sz w:val="32"/>
      <w:szCs w:val="21"/>
      <w:lang w:eastAsia="zh-CN"/>
    </w:rPr>
  </w:style>
  <w:style w:type="paragraph" w:customStyle="1" w:styleId="54">
    <w:name w:val="标准文件_标准正文"/>
    <w:basedOn w:val="1"/>
    <w:next w:val="36"/>
    <w:qFormat/>
    <w:uiPriority w:val="0"/>
    <w:pPr>
      <w:widowControl w:val="0"/>
      <w:kinsoku/>
      <w:autoSpaceDE/>
      <w:autoSpaceDN/>
      <w:adjustRightInd w:val="0"/>
      <w:snapToGrid w:val="0"/>
      <w:spacing w:line="400" w:lineRule="exact"/>
      <w:ind w:firstLine="200" w:firstLineChars="200"/>
      <w:jc w:val="both"/>
      <w:textAlignment w:val="auto"/>
    </w:pPr>
    <w:rPr>
      <w:rFonts w:ascii="Calibri" w:hAnsi="Calibri" w:eastAsia="宋体" w:cs="Times New Roman"/>
      <w:snapToGrid/>
      <w:color w:val="auto"/>
      <w:kern w:val="0"/>
      <w:sz w:val="21"/>
      <w:szCs w:val="21"/>
      <w:lang w:eastAsia="zh-CN"/>
    </w:rPr>
  </w:style>
  <w:style w:type="paragraph" w:customStyle="1" w:styleId="55">
    <w:name w:val="标准文件_正文公式"/>
    <w:basedOn w:val="1"/>
    <w:next w:val="54"/>
    <w:qFormat/>
    <w:uiPriority w:val="0"/>
    <w:pPr>
      <w:widowControl w:val="0"/>
      <w:tabs>
        <w:tab w:val="center" w:pos="4678"/>
        <w:tab w:val="right" w:leader="middleDot" w:pos="9356"/>
      </w:tabs>
      <w:kinsoku/>
      <w:autoSpaceDE/>
      <w:autoSpaceDN/>
      <w:adjustRightInd w:val="0"/>
      <w:snapToGrid/>
      <w:jc w:val="both"/>
      <w:textAlignment w:val="auto"/>
    </w:pPr>
    <w:rPr>
      <w:rFonts w:ascii="宋体" w:hAnsi="宋体" w:eastAsia="宋体" w:cs="Times New Roman"/>
      <w:snapToGrid/>
      <w:color w:val="auto"/>
      <w:kern w:val="2"/>
      <w:sz w:val="21"/>
      <w:szCs w:val="21"/>
      <w:lang w:eastAsia="zh-CN"/>
    </w:rPr>
  </w:style>
  <w:style w:type="paragraph" w:customStyle="1" w:styleId="56">
    <w:name w:val="修订1"/>
    <w:unhideWhenUsed/>
    <w:qFormat/>
    <w:uiPriority w:val="99"/>
    <w:rPr>
      <w:rFonts w:ascii="Arial" w:hAnsi="Arial" w:eastAsia="Arial" w:cs="Arial"/>
      <w:snapToGrid w:val="0"/>
      <w:color w:val="000000"/>
      <w:sz w:val="21"/>
      <w:szCs w:val="21"/>
      <w:lang w:val="en-US" w:eastAsia="en-US" w:bidi="ar-SA"/>
    </w:rPr>
  </w:style>
  <w:style w:type="character" w:styleId="57">
    <w:name w:val="Placeholder Text"/>
    <w:unhideWhenUsed/>
    <w:qFormat/>
    <w:uiPriority w:val="99"/>
    <w:rPr>
      <w:rFonts w:ascii="Times New Roman" w:hAnsi="Times New Roman" w:eastAsia="宋体" w:cs="Times New Roman"/>
      <w:color w:val="808080"/>
    </w:rPr>
  </w:style>
  <w:style w:type="paragraph" w:styleId="58">
    <w:name w:val="List Paragraph"/>
    <w:basedOn w:val="1"/>
    <w:qFormat/>
    <w:uiPriority w:val="99"/>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 w:val="21"/>
      <w:szCs w:val="21"/>
      <w:lang w:eastAsia="en-US"/>
    </w:rPr>
  </w:style>
  <w:style w:type="paragraph" w:customStyle="1" w:styleId="59">
    <w:name w:val="标准文件_附录标识"/>
    <w:next w:val="36"/>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60">
    <w:name w:val="标准文件_附录一级条标题"/>
    <w:next w:val="36"/>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1">
    <w:name w:val="标准文件_附录二级条标题"/>
    <w:basedOn w:val="60"/>
    <w:next w:val="36"/>
    <w:qFormat/>
    <w:uiPriority w:val="0"/>
    <w:pPr>
      <w:widowControl/>
      <w:wordWrap w:val="0"/>
      <w:overflowPunct w:val="0"/>
      <w:autoSpaceDE w:val="0"/>
      <w:autoSpaceDN w:val="0"/>
      <w:textAlignment w:val="baseline"/>
      <w:outlineLvl w:val="3"/>
    </w:pPr>
  </w:style>
  <w:style w:type="paragraph" w:customStyle="1" w:styleId="62">
    <w:name w:val="标准文件_附录三级条标题"/>
    <w:next w:val="36"/>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63">
    <w:name w:val="标准文件_附录四级条标题"/>
    <w:next w:val="36"/>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64">
    <w:name w:val="标准文件_附录五级条标题"/>
    <w:next w:val="36"/>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6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66">
    <w:name w:val="Revisio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5474</Words>
  <Characters>5709</Characters>
  <Lines>146</Lines>
  <Paragraphs>41</Paragraphs>
  <TotalTime>0</TotalTime>
  <ScaleCrop>false</ScaleCrop>
  <LinksUpToDate>false</LinksUpToDate>
  <CharactersWithSpaces>5781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2025-01-02T01:50:00Z</dcterms:created>
  <dc:creator>周敏:文印室编号、排版</dc:creator>
  <cp:lastModifiedBy>白芷</cp:lastModifiedBy>
  <cp:lastPrinted>2024-12-30T16:41:00Z</cp:lastPrinted>
  <dcterms:modified xsi:type="dcterms:W3CDTF">2025-06-24T03:59:38Z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5E466C15A2854A6581BE35538CCE612D_13</vt:lpwstr>
  </property>
  <property fmtid="{D5CDD505-2E9C-101B-9397-08002B2CF9AE}" pid="4" name="KSOTemplateDocerSaveRecord">
    <vt:lpwstr>eyJoZGlkIjoiODIzOTBkNTdjZjQxZWZlMDEyNGE4MTEzMDMwYjhjYTMiLCJ1c2VySWQiOiIxNTU0ODg4ODg3In0=</vt:lpwstr>
  </property>
</Properties>
</file>